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E8A2" w14:textId="77777777" w:rsidR="00317246" w:rsidRDefault="004205FA" w:rsidP="00317246">
      <w:pPr>
        <w:pStyle w:val="berschrift1"/>
      </w:pPr>
      <w:r>
        <w:t xml:space="preserve">Anbieten und </w:t>
      </w:r>
      <w:r w:rsidR="00634ECC">
        <w:t xml:space="preserve">Gewährung von Vorteilen </w:t>
      </w:r>
    </w:p>
    <w:p w14:paraId="46D0810B" w14:textId="77777777" w:rsidR="002E5B3C" w:rsidRDefault="002E5B3C" w:rsidP="002E5B3C">
      <w:pPr>
        <w:pStyle w:val="berschrift2"/>
      </w:pPr>
      <w:r>
        <w:t>Geschäftsgrundsatz</w:t>
      </w:r>
    </w:p>
    <w:p w14:paraId="47F355F1" w14:textId="77777777" w:rsidR="004205FA" w:rsidRDefault="002E5B3C" w:rsidP="002E5B3C">
      <w:pPr>
        <w:pStyle w:val="Text"/>
      </w:pPr>
      <w:r>
        <w:t xml:space="preserve">Als MA der medfacilities darf keinem Mitarbeiter der öffentlichen Verwaltung, keinem Mitarbeiter eines anderen Unternehmens und keinem Dritten im Zusammenhang mit dienstlichen Tätigkeiten persönliche Vorteile (z. B. Geschenke) anboten oder gewährt werden. </w:t>
      </w:r>
    </w:p>
    <w:p w14:paraId="5D34DB50" w14:textId="77777777" w:rsidR="002E5B3C" w:rsidRDefault="002E5B3C" w:rsidP="002E5B3C">
      <w:pPr>
        <w:pStyle w:val="Text"/>
      </w:pPr>
      <w:r>
        <w:t>Dieses Verbot gilt auch dann, wenn eine Entscheidung des betreffenden Dritten auch ohne die Gewährung des Vorteils gleichermaßen ausgefallen wäre. Es ist bereits zu vermeiden, dass der Anschein entsteht, man wolle durch sachfremde Mittel Einfluss nehmen.</w:t>
      </w:r>
    </w:p>
    <w:p w14:paraId="4FCE60F5" w14:textId="77777777" w:rsidR="002E5B3C" w:rsidRPr="002E5B3C" w:rsidRDefault="002E5B3C" w:rsidP="002E5B3C">
      <w:pPr>
        <w:pStyle w:val="Text"/>
        <w:rPr>
          <w:i/>
        </w:rPr>
      </w:pPr>
      <w:r w:rsidRPr="002E5B3C">
        <w:rPr>
          <w:i/>
        </w:rPr>
        <w:t>Ausnahmen bestehen lediglich</w:t>
      </w:r>
      <w:r>
        <w:rPr>
          <w:i/>
        </w:rPr>
        <w:t xml:space="preserve">: </w:t>
      </w:r>
    </w:p>
    <w:p w14:paraId="3B6A6920" w14:textId="77777777" w:rsidR="002E5B3C" w:rsidRPr="002E5B3C" w:rsidRDefault="002E5B3C" w:rsidP="004205FA">
      <w:pPr>
        <w:pStyle w:val="Text"/>
        <w:numPr>
          <w:ilvl w:val="0"/>
          <w:numId w:val="22"/>
        </w:numPr>
        <w:rPr>
          <w:i/>
        </w:rPr>
      </w:pPr>
      <w:r>
        <w:rPr>
          <w:i/>
        </w:rPr>
        <w:t>in Hinsicht</w:t>
      </w:r>
      <w:r w:rsidRPr="002E5B3C">
        <w:rPr>
          <w:i/>
        </w:rPr>
        <w:t xml:space="preserve"> Geschenken, bei denen es sich um symbolhafte und geringwertige Gelegenheits- oder Werbegeschenke</w:t>
      </w:r>
      <w:r>
        <w:rPr>
          <w:i/>
        </w:rPr>
        <w:t xml:space="preserve"> </w:t>
      </w:r>
      <w:r w:rsidRPr="002E5B3C">
        <w:rPr>
          <w:i/>
        </w:rPr>
        <w:t>handelt</w:t>
      </w:r>
      <w:r>
        <w:rPr>
          <w:i/>
        </w:rPr>
        <w:t>,</w:t>
      </w:r>
      <w:r w:rsidRPr="002E5B3C">
        <w:rPr>
          <w:i/>
        </w:rPr>
        <w:t xml:space="preserve"> oder die im Einzelfall ausnahmsweise angemessen sind, wobei Barzahlungen oder vergleichbare Leistungen (z. B. Tankgutscheine) generell verboten sind;</w:t>
      </w:r>
    </w:p>
    <w:p w14:paraId="7C4FCD75" w14:textId="77777777" w:rsidR="002E5B3C" w:rsidRPr="002E5B3C" w:rsidRDefault="002E5B3C" w:rsidP="004205FA">
      <w:pPr>
        <w:pStyle w:val="Text"/>
        <w:numPr>
          <w:ilvl w:val="0"/>
          <w:numId w:val="22"/>
        </w:numPr>
        <w:rPr>
          <w:i/>
        </w:rPr>
      </w:pPr>
      <w:r w:rsidRPr="002E5B3C">
        <w:rPr>
          <w:i/>
        </w:rPr>
        <w:t>für Einladungen zu Geschäftsessen, die sich in einem angemessenen Rahmen halten.</w:t>
      </w:r>
    </w:p>
    <w:p w14:paraId="1C8A03BB" w14:textId="77777777" w:rsidR="004205FA" w:rsidRDefault="004205FA" w:rsidP="002E5B3C">
      <w:pPr>
        <w:pStyle w:val="Text"/>
        <w:rPr>
          <w:i/>
        </w:rPr>
      </w:pPr>
      <w:r>
        <w:rPr>
          <w:i/>
        </w:rPr>
        <w:t>Ist ein MA</w:t>
      </w:r>
      <w:r w:rsidR="002E5B3C" w:rsidRPr="002E5B3C">
        <w:rPr>
          <w:i/>
        </w:rPr>
        <w:t xml:space="preserve"> unsicher, ob ein Verhalten </w:t>
      </w:r>
      <w:r>
        <w:rPr>
          <w:i/>
        </w:rPr>
        <w:t>unangemessen,</w:t>
      </w:r>
      <w:r w:rsidR="002E5B3C" w:rsidRPr="002E5B3C">
        <w:rPr>
          <w:i/>
        </w:rPr>
        <w:t xml:space="preserve"> verboten ist oder nicht, sollte die PA oder die GF kontaktiert werden, um die Vorgehensweise zu besprechen. </w:t>
      </w:r>
    </w:p>
    <w:p w14:paraId="75BDEB15" w14:textId="77777777" w:rsidR="002E5B3C" w:rsidRDefault="002E5B3C" w:rsidP="002E5B3C">
      <w:pPr>
        <w:pStyle w:val="Text"/>
        <w:rPr>
          <w:i/>
        </w:rPr>
      </w:pPr>
      <w:r w:rsidRPr="002E5B3C">
        <w:rPr>
          <w:i/>
        </w:rPr>
        <w:t>Im Zweifelsfall ist das Anbieten oder Gewähren des Vorteils zu unterlassen.</w:t>
      </w:r>
      <w:r>
        <w:rPr>
          <w:i/>
        </w:rPr>
        <w:t xml:space="preserve"> </w:t>
      </w:r>
    </w:p>
    <w:p w14:paraId="11F06FC8" w14:textId="77777777" w:rsidR="004205FA" w:rsidRPr="002E5B3C" w:rsidRDefault="004205FA" w:rsidP="002E5B3C">
      <w:pPr>
        <w:pStyle w:val="Text"/>
        <w:rPr>
          <w:i/>
        </w:rPr>
      </w:pPr>
    </w:p>
    <w:p w14:paraId="4FFCF58A" w14:textId="77777777" w:rsidR="002E5B3C" w:rsidRDefault="002E5B3C" w:rsidP="00DA3C62">
      <w:pPr>
        <w:pStyle w:val="berschrift2"/>
      </w:pPr>
      <w:r>
        <w:t>Warum soll der Geschäftsgrundsatz beachtet werden?</w:t>
      </w:r>
    </w:p>
    <w:p w14:paraId="36649D94" w14:textId="77777777" w:rsidR="002E5B3C" w:rsidRDefault="002E5B3C" w:rsidP="002E5B3C">
      <w:pPr>
        <w:pStyle w:val="Text"/>
      </w:pPr>
      <w:r>
        <w:t xml:space="preserve">Die Nichtbeachtung des Grundsatzes kann zu einer Verletzung von Antikorruptionsgesetzen und/oder zu wirtschaftlichem Schaden und einem Ansehensverlust der medfacilities führen. Daneben kann sich der MA bei Nichteinhaltung des Grundsatzes strafbar machen. Ein strafbares Handeln kann sich nicht nur in Hinsicht Zuwendungen an einen Mitarbeiter der öffentlichen Verwaltung ergeben, sondern auch in Bezug auf Zuwendungen an einen Geschäftspartner. </w:t>
      </w:r>
    </w:p>
    <w:p w14:paraId="4CFE0690" w14:textId="77777777" w:rsidR="004205FA" w:rsidRDefault="004205FA" w:rsidP="002E5B3C">
      <w:pPr>
        <w:pStyle w:val="Text"/>
      </w:pPr>
    </w:p>
    <w:p w14:paraId="484EAD4F" w14:textId="77777777" w:rsidR="002E5B3C" w:rsidRDefault="002E5B3C" w:rsidP="00DA3C62">
      <w:pPr>
        <w:pStyle w:val="berschrift2"/>
      </w:pPr>
      <w:r>
        <w:t>Beispiele</w:t>
      </w:r>
    </w:p>
    <w:p w14:paraId="0D5B983A" w14:textId="77777777" w:rsidR="002E5B3C" w:rsidRPr="002E5B3C" w:rsidRDefault="002E5B3C" w:rsidP="002E5B3C">
      <w:pPr>
        <w:pStyle w:val="Text"/>
        <w:rPr>
          <w:i/>
        </w:rPr>
      </w:pPr>
      <w:r w:rsidRPr="002E5B3C">
        <w:rPr>
          <w:i/>
        </w:rPr>
        <w:t>Ein MA möchte einen Mitarbeiter eines anderen Unternehmens nach Abschluss eines Geschäfts zu einem angemessenen, guten Essen einladen.</w:t>
      </w:r>
    </w:p>
    <w:p w14:paraId="0DEBAB76" w14:textId="77777777" w:rsidR="002E5B3C" w:rsidRPr="002E5B3C" w:rsidRDefault="002E5B3C" w:rsidP="002E5B3C">
      <w:pPr>
        <w:pStyle w:val="Text"/>
        <w:rPr>
          <w:i/>
        </w:rPr>
      </w:pPr>
      <w:r>
        <w:rPr>
          <w:i/>
        </w:rPr>
        <w:sym w:font="Wingdings" w:char="F0E8"/>
      </w:r>
      <w:r>
        <w:rPr>
          <w:i/>
        </w:rPr>
        <w:t xml:space="preserve"> </w:t>
      </w:r>
      <w:r w:rsidRPr="002E5B3C">
        <w:rPr>
          <w:i/>
        </w:rPr>
        <w:t>grundsätzlich in Ordnung</w:t>
      </w:r>
    </w:p>
    <w:p w14:paraId="251D7ECC" w14:textId="77777777" w:rsidR="002E5B3C" w:rsidRPr="002E5B3C" w:rsidRDefault="002E5B3C" w:rsidP="002E5B3C">
      <w:pPr>
        <w:pStyle w:val="Text"/>
        <w:rPr>
          <w:i/>
        </w:rPr>
      </w:pPr>
      <w:r w:rsidRPr="002E5B3C">
        <w:rPr>
          <w:i/>
        </w:rPr>
        <w:t xml:space="preserve">Ein MA möchte einen Mitarbeiter </w:t>
      </w:r>
      <w:r w:rsidR="004205FA">
        <w:rPr>
          <w:i/>
        </w:rPr>
        <w:t>z.B. der Bauaufsicht</w:t>
      </w:r>
      <w:r w:rsidRPr="002E5B3C">
        <w:rPr>
          <w:i/>
        </w:rPr>
        <w:t xml:space="preserve"> zu einem Abendessen in ein nobles Restaurant einladen, um mit ihm eine mögliche Beschleunigung der Bearbeitung eines Baugenehmigungsantrags zu besprechen.</w:t>
      </w:r>
    </w:p>
    <w:p w14:paraId="77962309" w14:textId="77777777" w:rsidR="002E5B3C" w:rsidRPr="002E5B3C" w:rsidRDefault="002E5B3C" w:rsidP="002E5B3C">
      <w:pPr>
        <w:pStyle w:val="Text"/>
        <w:rPr>
          <w:i/>
        </w:rPr>
      </w:pPr>
      <w:r>
        <w:rPr>
          <w:i/>
        </w:rPr>
        <w:sym w:font="Wingdings" w:char="F0E8"/>
      </w:r>
      <w:r>
        <w:rPr>
          <w:i/>
        </w:rPr>
        <w:t xml:space="preserve"> </w:t>
      </w:r>
      <w:r w:rsidRPr="002E5B3C">
        <w:rPr>
          <w:i/>
        </w:rPr>
        <w:t>Eine derartige Vorgehensweise ist nach den Landesgesetzen verboten.</w:t>
      </w:r>
    </w:p>
    <w:sectPr w:rsidR="002E5B3C" w:rsidRPr="002E5B3C" w:rsidSect="00FC71CB">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304" w:header="1134"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00676" w14:textId="77777777" w:rsidR="001210D6" w:rsidRDefault="001210D6">
      <w:r>
        <w:separator/>
      </w:r>
    </w:p>
    <w:p w14:paraId="2E949152" w14:textId="77777777" w:rsidR="001210D6" w:rsidRDefault="001210D6"/>
  </w:endnote>
  <w:endnote w:type="continuationSeparator" w:id="0">
    <w:p w14:paraId="1A463A8C" w14:textId="77777777" w:rsidR="001210D6" w:rsidRDefault="001210D6">
      <w:r>
        <w:continuationSeparator/>
      </w:r>
    </w:p>
    <w:p w14:paraId="1340DFF5" w14:textId="77777777" w:rsidR="001210D6" w:rsidRDefault="00121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784B" w14:textId="77777777" w:rsidR="00EB405E" w:rsidRDefault="00EB40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47B4" w14:textId="43E553D2" w:rsidR="00634ECC" w:rsidRPr="00EB405E" w:rsidRDefault="00872437" w:rsidP="00872437">
    <w:pPr>
      <w:pStyle w:val="Fuzeile"/>
      <w:tabs>
        <w:tab w:val="clear" w:pos="4819"/>
        <w:tab w:val="clear" w:pos="9071"/>
        <w:tab w:val="center" w:pos="5103"/>
        <w:tab w:val="right" w:pos="10065"/>
      </w:tabs>
    </w:pPr>
    <w:r w:rsidRPr="00445473">
      <w:sym w:font="Wingdings" w:char="F031"/>
    </w:r>
    <w:r w:rsidRPr="00445473">
      <w:t xml:space="preserve">  </w:t>
    </w:r>
    <w:fldSimple w:instr=" FILENAME   \* MERGEFORMAT ">
      <w:r w:rsidR="00FC71CB">
        <w:rPr>
          <w:noProof/>
        </w:rPr>
        <w:t>A030201_Gewährung von Vorteilen.doc</w:t>
      </w:r>
    </w:fldSimple>
    <w:r w:rsidR="00EB405E">
      <w:tab/>
      <w:t>01</w:t>
    </w:r>
    <w:r w:rsidRPr="00445473">
      <w:tab/>
    </w:r>
    <w:r>
      <w:fldChar w:fldCharType="begin"/>
    </w:r>
    <w:r>
      <w:instrText xml:space="preserve"> PAGE  \* MERGEFORMAT </w:instrText>
    </w:r>
    <w:r>
      <w:fldChar w:fldCharType="separate"/>
    </w:r>
    <w:r>
      <w:rPr>
        <w:noProof/>
      </w:rPr>
      <w:t>1</w:t>
    </w:r>
    <w:r>
      <w:fldChar w:fldCharType="end"/>
    </w:r>
    <w:r>
      <w:t xml:space="preserve"> / </w:t>
    </w:r>
    <w:fldSimple w:instr=" NUM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83A8" w14:textId="77777777" w:rsidR="00EB405E" w:rsidRDefault="00EB40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556E1" w14:textId="77777777" w:rsidR="001210D6" w:rsidRDefault="001210D6">
      <w:r>
        <w:separator/>
      </w:r>
    </w:p>
    <w:p w14:paraId="74D2AC5C" w14:textId="77777777" w:rsidR="001210D6" w:rsidRDefault="001210D6"/>
  </w:footnote>
  <w:footnote w:type="continuationSeparator" w:id="0">
    <w:p w14:paraId="00BF6378" w14:textId="77777777" w:rsidR="001210D6" w:rsidRDefault="001210D6">
      <w:r>
        <w:continuationSeparator/>
      </w:r>
    </w:p>
    <w:p w14:paraId="4957AA31" w14:textId="77777777" w:rsidR="001210D6" w:rsidRDefault="00121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D852" w14:textId="77777777" w:rsidR="00EB405E" w:rsidRDefault="00EB40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34" w:type="dxa"/>
      <w:tblBorders>
        <w:insideH w:val="single" w:sz="4" w:space="0" w:color="auto"/>
      </w:tblBorders>
      <w:tblLayout w:type="fixed"/>
      <w:tblLook w:val="01E0" w:firstRow="1" w:lastRow="1" w:firstColumn="1" w:lastColumn="1" w:noHBand="0" w:noVBand="0"/>
    </w:tblPr>
    <w:tblGrid>
      <w:gridCol w:w="6096"/>
      <w:gridCol w:w="1984"/>
      <w:gridCol w:w="2127"/>
    </w:tblGrid>
    <w:tr w:rsidR="006116C6" w:rsidRPr="00FD1E2B" w14:paraId="58DCAE71" w14:textId="77777777" w:rsidTr="007F1103">
      <w:tc>
        <w:tcPr>
          <w:tcW w:w="6096" w:type="dxa"/>
          <w:shd w:val="clear" w:color="auto" w:fill="auto"/>
          <w:vAlign w:val="center"/>
        </w:tcPr>
        <w:p w14:paraId="387D4A1E" w14:textId="77777777" w:rsidR="006116C6" w:rsidRPr="004771A5" w:rsidRDefault="006116C6" w:rsidP="00BA1AFA">
          <w:pPr>
            <w:pStyle w:val="Kopfzeile"/>
            <w:tabs>
              <w:tab w:val="clear" w:pos="4536"/>
              <w:tab w:val="clear" w:pos="9072"/>
            </w:tabs>
            <w:ind w:left="-75"/>
            <w:rPr>
              <w:b/>
              <w:sz w:val="36"/>
              <w:szCs w:val="36"/>
            </w:rPr>
          </w:pPr>
          <w:r>
            <w:rPr>
              <w:b/>
              <w:sz w:val="36"/>
              <w:szCs w:val="36"/>
            </w:rPr>
            <w:t>Organisationshandbuch</w:t>
          </w:r>
        </w:p>
      </w:tc>
      <w:tc>
        <w:tcPr>
          <w:tcW w:w="1984" w:type="dxa"/>
          <w:shd w:val="clear" w:color="auto" w:fill="auto"/>
        </w:tcPr>
        <w:p w14:paraId="39913D5C" w14:textId="77777777" w:rsidR="006116C6" w:rsidRPr="00FD1E2B" w:rsidRDefault="006116C6" w:rsidP="00A17F48">
          <w:pPr>
            <w:pStyle w:val="Fuzeile"/>
            <w:jc w:val="right"/>
            <w:rPr>
              <w:szCs w:val="16"/>
            </w:rPr>
          </w:pPr>
        </w:p>
      </w:tc>
      <w:tc>
        <w:tcPr>
          <w:tcW w:w="2127" w:type="dxa"/>
          <w:shd w:val="clear" w:color="auto" w:fill="auto"/>
        </w:tcPr>
        <w:p w14:paraId="13EBD1CF" w14:textId="77777777" w:rsidR="006116C6" w:rsidRPr="004771A5" w:rsidRDefault="006116C6" w:rsidP="004B73D2">
          <w:pPr>
            <w:pStyle w:val="Kopfzeile"/>
            <w:widowControl w:val="0"/>
            <w:tabs>
              <w:tab w:val="clear" w:pos="4536"/>
              <w:tab w:val="clear" w:pos="9072"/>
            </w:tabs>
            <w:ind w:right="-52"/>
            <w:rPr>
              <w:szCs w:val="16"/>
            </w:rPr>
          </w:pPr>
        </w:p>
      </w:tc>
    </w:tr>
  </w:tbl>
  <w:p w14:paraId="251D0064" w14:textId="77777777" w:rsidR="006116C6" w:rsidRPr="00C400A1" w:rsidRDefault="007466BE" w:rsidP="00DA381B">
    <w:pPr>
      <w:shd w:val="clear" w:color="auto" w:fill="C0C0C0"/>
      <w:tabs>
        <w:tab w:val="right" w:pos="10036"/>
      </w:tabs>
      <w:spacing w:before="60" w:after="120"/>
      <w:rPr>
        <w:b/>
        <w:sz w:val="28"/>
        <w:szCs w:val="28"/>
      </w:rPr>
    </w:pPr>
    <w:r>
      <w:rPr>
        <w:b/>
        <w:sz w:val="28"/>
        <w:szCs w:val="28"/>
      </w:rPr>
      <w:t xml:space="preserve">Geschäftsgrundsätze </w:t>
    </w:r>
    <w:r w:rsidR="00634ECC">
      <w:rPr>
        <w:b/>
        <w:sz w:val="28"/>
        <w:szCs w:val="28"/>
      </w:rPr>
      <w:tab/>
      <w:t>A 03.02.01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29FF" w14:textId="77777777" w:rsidR="00EB405E" w:rsidRDefault="00EB40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7E57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AD2083"/>
    <w:multiLevelType w:val="hybridMultilevel"/>
    <w:tmpl w:val="E806B010"/>
    <w:lvl w:ilvl="0" w:tplc="FFFFFFFF">
      <w:start w:val="1"/>
      <w:numFmt w:val="decimal"/>
      <w:lvlText w:val="%1."/>
      <w:lvlJc w:val="left"/>
      <w:pPr>
        <w:tabs>
          <w:tab w:val="num" w:pos="2988"/>
        </w:tabs>
        <w:ind w:left="2988" w:hanging="360"/>
      </w:pPr>
    </w:lvl>
    <w:lvl w:ilvl="1" w:tplc="FFFFFFFF">
      <w:start w:val="1"/>
      <w:numFmt w:val="lowerLetter"/>
      <w:lvlText w:val="%2."/>
      <w:lvlJc w:val="left"/>
      <w:pPr>
        <w:tabs>
          <w:tab w:val="num" w:pos="2574"/>
        </w:tabs>
        <w:ind w:left="2574" w:hanging="360"/>
      </w:pPr>
    </w:lvl>
    <w:lvl w:ilvl="2" w:tplc="FFFFFFFF" w:tentative="1">
      <w:start w:val="1"/>
      <w:numFmt w:val="lowerRoman"/>
      <w:lvlText w:val="%3."/>
      <w:lvlJc w:val="right"/>
      <w:pPr>
        <w:tabs>
          <w:tab w:val="num" w:pos="3294"/>
        </w:tabs>
        <w:ind w:left="3294" w:hanging="180"/>
      </w:pPr>
    </w:lvl>
    <w:lvl w:ilvl="3" w:tplc="FFFFFFFF" w:tentative="1">
      <w:start w:val="1"/>
      <w:numFmt w:val="decimal"/>
      <w:lvlText w:val="%4."/>
      <w:lvlJc w:val="left"/>
      <w:pPr>
        <w:tabs>
          <w:tab w:val="num" w:pos="4014"/>
        </w:tabs>
        <w:ind w:left="4014" w:hanging="360"/>
      </w:p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2"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3"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8" w15:restartNumberingAfterBreak="0">
    <w:nsid w:val="78936FE3"/>
    <w:multiLevelType w:val="hybridMultilevel"/>
    <w:tmpl w:val="6AA24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797602AE"/>
    <w:multiLevelType w:val="hybridMultilevel"/>
    <w:tmpl w:val="DABE3AB6"/>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1918781296">
    <w:abstractNumId w:val="7"/>
  </w:num>
  <w:num w:numId="2" w16cid:durableId="1532105701">
    <w:abstractNumId w:val="8"/>
  </w:num>
  <w:num w:numId="3" w16cid:durableId="1645039667">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21516941">
    <w:abstractNumId w:val="20"/>
  </w:num>
  <w:num w:numId="5" w16cid:durableId="628512886">
    <w:abstractNumId w:val="20"/>
    <w:lvlOverride w:ilvl="0">
      <w:lvl w:ilvl="0">
        <w:start w:val="1"/>
        <w:numFmt w:val="decimal"/>
        <w:lvlText w:val="%1."/>
        <w:legacy w:legacy="1" w:legacySpace="0" w:legacyIndent="283"/>
        <w:lvlJc w:val="left"/>
        <w:pPr>
          <w:ind w:left="1984" w:hanging="283"/>
        </w:pPr>
      </w:lvl>
    </w:lvlOverride>
  </w:num>
  <w:num w:numId="6" w16cid:durableId="1898589740">
    <w:abstractNumId w:val="18"/>
  </w:num>
  <w:num w:numId="7" w16cid:durableId="2036419901">
    <w:abstractNumId w:val="12"/>
  </w:num>
  <w:num w:numId="8" w16cid:durableId="1400710092">
    <w:abstractNumId w:val="10"/>
  </w:num>
  <w:num w:numId="9" w16cid:durableId="23794748">
    <w:abstractNumId w:val="11"/>
  </w:num>
  <w:num w:numId="10" w16cid:durableId="1743679617">
    <w:abstractNumId w:val="6"/>
  </w:num>
  <w:num w:numId="11" w16cid:durableId="1262570305">
    <w:abstractNumId w:val="5"/>
  </w:num>
  <w:num w:numId="12" w16cid:durableId="878855600">
    <w:abstractNumId w:val="4"/>
  </w:num>
  <w:num w:numId="13" w16cid:durableId="962998552">
    <w:abstractNumId w:val="3"/>
  </w:num>
  <w:num w:numId="14" w16cid:durableId="471756297">
    <w:abstractNumId w:val="2"/>
  </w:num>
  <w:num w:numId="15" w16cid:durableId="756680527">
    <w:abstractNumId w:val="1"/>
  </w:num>
  <w:num w:numId="16" w16cid:durableId="145509760">
    <w:abstractNumId w:val="0"/>
  </w:num>
  <w:num w:numId="17" w16cid:durableId="1645313292">
    <w:abstractNumId w:val="16"/>
  </w:num>
  <w:num w:numId="18" w16cid:durableId="145166595">
    <w:abstractNumId w:val="13"/>
  </w:num>
  <w:num w:numId="19" w16cid:durableId="1654867171">
    <w:abstractNumId w:val="17"/>
  </w:num>
  <w:num w:numId="20" w16cid:durableId="1813982365">
    <w:abstractNumId w:val="15"/>
  </w:num>
  <w:num w:numId="21" w16cid:durableId="1322125569">
    <w:abstractNumId w:val="14"/>
  </w:num>
  <w:num w:numId="22" w16cid:durableId="7057575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hideSpelling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3C"/>
    <w:rsid w:val="00020D22"/>
    <w:rsid w:val="00024FF8"/>
    <w:rsid w:val="000279A9"/>
    <w:rsid w:val="0003116E"/>
    <w:rsid w:val="0003753D"/>
    <w:rsid w:val="00042501"/>
    <w:rsid w:val="00050960"/>
    <w:rsid w:val="0008442C"/>
    <w:rsid w:val="000960F0"/>
    <w:rsid w:val="00097845"/>
    <w:rsid w:val="000A0505"/>
    <w:rsid w:val="00102A4B"/>
    <w:rsid w:val="00104F5A"/>
    <w:rsid w:val="00110668"/>
    <w:rsid w:val="001210D6"/>
    <w:rsid w:val="001274F3"/>
    <w:rsid w:val="00151EB8"/>
    <w:rsid w:val="00154388"/>
    <w:rsid w:val="00166479"/>
    <w:rsid w:val="00175FF8"/>
    <w:rsid w:val="00176AF9"/>
    <w:rsid w:val="00197A6B"/>
    <w:rsid w:val="001D3265"/>
    <w:rsid w:val="001F0962"/>
    <w:rsid w:val="001F1812"/>
    <w:rsid w:val="00204715"/>
    <w:rsid w:val="002A291F"/>
    <w:rsid w:val="002A6B6E"/>
    <w:rsid w:val="002C6FC5"/>
    <w:rsid w:val="002D14A8"/>
    <w:rsid w:val="002E5B3C"/>
    <w:rsid w:val="002E61F4"/>
    <w:rsid w:val="002F58F0"/>
    <w:rsid w:val="00317246"/>
    <w:rsid w:val="00320780"/>
    <w:rsid w:val="0032160F"/>
    <w:rsid w:val="00340CD1"/>
    <w:rsid w:val="00353493"/>
    <w:rsid w:val="003703CB"/>
    <w:rsid w:val="00374721"/>
    <w:rsid w:val="003A013F"/>
    <w:rsid w:val="003C4B92"/>
    <w:rsid w:val="003E0BA5"/>
    <w:rsid w:val="00402A76"/>
    <w:rsid w:val="00416E35"/>
    <w:rsid w:val="004205FA"/>
    <w:rsid w:val="004242F0"/>
    <w:rsid w:val="00424767"/>
    <w:rsid w:val="004319FF"/>
    <w:rsid w:val="004525D6"/>
    <w:rsid w:val="004723A1"/>
    <w:rsid w:val="00473633"/>
    <w:rsid w:val="004771A5"/>
    <w:rsid w:val="00487480"/>
    <w:rsid w:val="004A5412"/>
    <w:rsid w:val="004A63B9"/>
    <w:rsid w:val="004B617F"/>
    <w:rsid w:val="004B73D2"/>
    <w:rsid w:val="004E7ADA"/>
    <w:rsid w:val="004E7FAC"/>
    <w:rsid w:val="0050586F"/>
    <w:rsid w:val="00506996"/>
    <w:rsid w:val="005415A3"/>
    <w:rsid w:val="00551750"/>
    <w:rsid w:val="00564799"/>
    <w:rsid w:val="005925F4"/>
    <w:rsid w:val="005A5724"/>
    <w:rsid w:val="006116C6"/>
    <w:rsid w:val="006125E1"/>
    <w:rsid w:val="006201C5"/>
    <w:rsid w:val="0063475D"/>
    <w:rsid w:val="00634ECC"/>
    <w:rsid w:val="00642A9A"/>
    <w:rsid w:val="00644779"/>
    <w:rsid w:val="006467F7"/>
    <w:rsid w:val="006512BB"/>
    <w:rsid w:val="00663456"/>
    <w:rsid w:val="00663466"/>
    <w:rsid w:val="006A4416"/>
    <w:rsid w:val="006F1BCA"/>
    <w:rsid w:val="006F5A76"/>
    <w:rsid w:val="00710148"/>
    <w:rsid w:val="0071650A"/>
    <w:rsid w:val="007466BE"/>
    <w:rsid w:val="0079575B"/>
    <w:rsid w:val="007B792F"/>
    <w:rsid w:val="007D0053"/>
    <w:rsid w:val="007E2F29"/>
    <w:rsid w:val="007F1103"/>
    <w:rsid w:val="007F77EC"/>
    <w:rsid w:val="007F7CD1"/>
    <w:rsid w:val="00831BE6"/>
    <w:rsid w:val="0084021E"/>
    <w:rsid w:val="00844D12"/>
    <w:rsid w:val="00864981"/>
    <w:rsid w:val="00872437"/>
    <w:rsid w:val="00880B40"/>
    <w:rsid w:val="0088155E"/>
    <w:rsid w:val="008B0209"/>
    <w:rsid w:val="008B0D48"/>
    <w:rsid w:val="008B375B"/>
    <w:rsid w:val="008C120D"/>
    <w:rsid w:val="008C5CF6"/>
    <w:rsid w:val="008D2901"/>
    <w:rsid w:val="008D572A"/>
    <w:rsid w:val="008E3E33"/>
    <w:rsid w:val="008F00CC"/>
    <w:rsid w:val="009103EE"/>
    <w:rsid w:val="0094371F"/>
    <w:rsid w:val="00955E96"/>
    <w:rsid w:val="00991929"/>
    <w:rsid w:val="00991B66"/>
    <w:rsid w:val="009F38C3"/>
    <w:rsid w:val="00A17F48"/>
    <w:rsid w:val="00A300A4"/>
    <w:rsid w:val="00A5073A"/>
    <w:rsid w:val="00A56EBF"/>
    <w:rsid w:val="00A84090"/>
    <w:rsid w:val="00AB79F2"/>
    <w:rsid w:val="00B04C84"/>
    <w:rsid w:val="00B302C7"/>
    <w:rsid w:val="00B31469"/>
    <w:rsid w:val="00B7274D"/>
    <w:rsid w:val="00B86A1D"/>
    <w:rsid w:val="00BA1AFA"/>
    <w:rsid w:val="00BF1084"/>
    <w:rsid w:val="00BF33EC"/>
    <w:rsid w:val="00C0151E"/>
    <w:rsid w:val="00C1324A"/>
    <w:rsid w:val="00C400A1"/>
    <w:rsid w:val="00C440C5"/>
    <w:rsid w:val="00C85C74"/>
    <w:rsid w:val="00CA47C6"/>
    <w:rsid w:val="00CC3542"/>
    <w:rsid w:val="00CD50D2"/>
    <w:rsid w:val="00CD5A89"/>
    <w:rsid w:val="00D03F41"/>
    <w:rsid w:val="00D256E4"/>
    <w:rsid w:val="00D501B6"/>
    <w:rsid w:val="00DA31BF"/>
    <w:rsid w:val="00DA381B"/>
    <w:rsid w:val="00DA3C62"/>
    <w:rsid w:val="00DD5922"/>
    <w:rsid w:val="00DE0819"/>
    <w:rsid w:val="00DE0EA8"/>
    <w:rsid w:val="00DF378A"/>
    <w:rsid w:val="00E2150D"/>
    <w:rsid w:val="00E61EDA"/>
    <w:rsid w:val="00E84C79"/>
    <w:rsid w:val="00E85FCC"/>
    <w:rsid w:val="00EB405E"/>
    <w:rsid w:val="00EB5469"/>
    <w:rsid w:val="00ED7C9A"/>
    <w:rsid w:val="00EE4A6A"/>
    <w:rsid w:val="00EE6EA5"/>
    <w:rsid w:val="00F23D69"/>
    <w:rsid w:val="00F30B31"/>
    <w:rsid w:val="00F33C47"/>
    <w:rsid w:val="00F71B79"/>
    <w:rsid w:val="00F90FE1"/>
    <w:rsid w:val="00FB31DF"/>
    <w:rsid w:val="00FC3A76"/>
    <w:rsid w:val="00FC71CB"/>
    <w:rsid w:val="00FD1E2B"/>
    <w:rsid w:val="00FD527D"/>
    <w:rsid w:val="00FD6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2F9A"/>
  <w15:chartTrackingRefBased/>
  <w15:docId w15:val="{B3F16295-96FF-42A3-B8C7-EB00990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2C59"/>
    <w:rPr>
      <w:rFonts w:ascii="Arial" w:hAnsi="Arial"/>
    </w:rPr>
  </w:style>
  <w:style w:type="paragraph" w:styleId="berschrift1">
    <w:name w:val="heading 1"/>
    <w:basedOn w:val="Standard"/>
    <w:next w:val="Standard"/>
    <w:qFormat/>
    <w:rsid w:val="0079575B"/>
    <w:pPr>
      <w:keepNext/>
      <w:keepLines/>
      <w:spacing w:before="240" w:after="60"/>
      <w:contextualSpacing/>
      <w:outlineLvl w:val="0"/>
    </w:pPr>
    <w:rPr>
      <w:b/>
      <w:kern w:val="28"/>
      <w:sz w:val="24"/>
    </w:rPr>
  </w:style>
  <w:style w:type="paragraph" w:styleId="berschrift2">
    <w:name w:val="heading 2"/>
    <w:basedOn w:val="Standard"/>
    <w:next w:val="Standard"/>
    <w:link w:val="berschrift2Zchn"/>
    <w:qFormat/>
    <w:rsid w:val="006116C6"/>
    <w:pPr>
      <w:keepNext/>
      <w:keepLines/>
      <w:spacing w:before="240" w:after="120"/>
      <w:ind w:left="567"/>
      <w:outlineLvl w:val="1"/>
    </w:pPr>
    <w:rPr>
      <w:rFonts w:cs="Arial"/>
      <w:b/>
      <w:bCs/>
      <w:iCs/>
      <w:sz w:val="22"/>
      <w:szCs w:val="28"/>
    </w:rPr>
  </w:style>
  <w:style w:type="paragraph" w:styleId="berschrift3">
    <w:name w:val="heading 3"/>
    <w:basedOn w:val="Standard"/>
    <w:next w:val="Standard"/>
    <w:link w:val="berschrift3Zchn"/>
    <w:qFormat/>
    <w:rsid w:val="007466BE"/>
    <w:pPr>
      <w:keepNext/>
      <w:keepLines/>
      <w:spacing w:before="120" w:after="60"/>
      <w:ind w:left="1134"/>
      <w:outlineLvl w:val="2"/>
    </w:pPr>
    <w:rPr>
      <w:rFonts w:cs="Arial"/>
      <w:b/>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6116C6"/>
    <w:rPr>
      <w:rFonts w:ascii="Arial" w:hAnsi="Arial" w:cs="Arial"/>
      <w:b/>
      <w:bCs/>
      <w:iCs/>
      <w:sz w:val="22"/>
      <w:szCs w:val="28"/>
      <w:lang w:val="de-DE" w:eastAsia="de-DE" w:bidi="ar-SA"/>
    </w:rPr>
  </w:style>
  <w:style w:type="character" w:customStyle="1" w:styleId="berschrift3Zchn">
    <w:name w:val="Überschrift 3 Zchn"/>
    <w:link w:val="berschrift3"/>
    <w:rsid w:val="007466BE"/>
    <w:rPr>
      <w:rFonts w:ascii="Arial" w:hAnsi="Arial" w:cs="Arial"/>
      <w:b/>
      <w:bCs/>
      <w:sz w:val="22"/>
      <w:szCs w:val="26"/>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link w:val="KopfzeileZchn"/>
    <w:pPr>
      <w:tabs>
        <w:tab w:val="center" w:pos="4536"/>
        <w:tab w:val="right" w:pos="9072"/>
      </w:tabs>
    </w:pPr>
    <w:rPr>
      <w:sz w:val="16"/>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rPr>
  </w:style>
  <w:style w:type="paragraph" w:customStyle="1" w:styleId="Tabelle1">
    <w:name w:val="Tabelle1"/>
    <w:basedOn w:val="Standard"/>
    <w:rsid w:val="00C7510D"/>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StandardWeb">
    <w:name w:val="Normal (Web)"/>
    <w:basedOn w:val="Standard"/>
    <w:rsid w:val="007F77EC"/>
    <w:pPr>
      <w:spacing w:before="100" w:beforeAutospacing="1" w:after="100" w:afterAutospacing="1"/>
    </w:pPr>
    <w:rPr>
      <w:rFonts w:ascii="Times New Roman" w:hAnsi="Times New Roman"/>
      <w:sz w:val="24"/>
      <w:szCs w:val="24"/>
    </w:rPr>
  </w:style>
  <w:style w:type="paragraph" w:styleId="Funotentext">
    <w:name w:val="footnote text"/>
    <w:basedOn w:val="Standard"/>
    <w:rsid w:val="00991929"/>
  </w:style>
  <w:style w:type="character" w:customStyle="1" w:styleId="KopfzeileZchn">
    <w:name w:val="Kopfzeile Zchn"/>
    <w:basedOn w:val="Absatz-Standardschriftart"/>
    <w:link w:val="Kopfzeile"/>
    <w:rsid w:val="00EB405E"/>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006">
      <w:bodyDiv w:val="1"/>
      <w:marLeft w:val="0"/>
      <w:marRight w:val="0"/>
      <w:marTop w:val="0"/>
      <w:marBottom w:val="0"/>
      <w:divBdr>
        <w:top w:val="none" w:sz="0" w:space="0" w:color="auto"/>
        <w:left w:val="none" w:sz="0" w:space="0" w:color="auto"/>
        <w:bottom w:val="none" w:sz="0" w:space="0" w:color="auto"/>
        <w:right w:val="none" w:sz="0" w:space="0" w:color="auto"/>
      </w:divBdr>
    </w:div>
    <w:div w:id="1408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00_Daten\Firmenl&#246;sungen\medfacilities\OHB\A00000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A000000.dot</Template>
  <TotalTime>0</TotalTime>
  <Pages>1</Pages>
  <Words>292</Words>
  <Characters>1844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Vorblatt</vt:lpstr>
    </vt:vector>
  </TitlesOfParts>
  <Company>volkmann-pm</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Vorblatt</dc:title>
  <dc:subject/>
  <dc:creator>WV</dc:creator>
  <cp:keywords/>
  <cp:lastModifiedBy>Walter Volkmann</cp:lastModifiedBy>
  <cp:revision>5</cp:revision>
  <cp:lastPrinted>2020-08-06T08:46:00Z</cp:lastPrinted>
  <dcterms:created xsi:type="dcterms:W3CDTF">2025-07-31T20:26:00Z</dcterms:created>
  <dcterms:modified xsi:type="dcterms:W3CDTF">2026-02-23T09:43:00Z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