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E848" w14:textId="77777777" w:rsidR="00CC003C" w:rsidRPr="004E1F8D" w:rsidRDefault="00CC003C" w:rsidP="004E1F8D">
      <w:pPr>
        <w:pStyle w:val="Titel"/>
        <w:jc w:val="right"/>
        <w:rPr>
          <w:color w:val="002060"/>
        </w:rPr>
      </w:pPr>
    </w:p>
    <w:p w14:paraId="74E2D7B0" w14:textId="77777777" w:rsidR="00CC003C" w:rsidRPr="004E1F8D" w:rsidRDefault="00CC003C" w:rsidP="004E1F8D">
      <w:pPr>
        <w:pStyle w:val="Titel"/>
        <w:jc w:val="right"/>
        <w:rPr>
          <w:color w:val="002060"/>
        </w:rPr>
      </w:pPr>
    </w:p>
    <w:p w14:paraId="3D796A5B" w14:textId="77777777" w:rsidR="00CC003C" w:rsidRPr="004E1F8D" w:rsidRDefault="00CC003C" w:rsidP="004E1F8D">
      <w:pPr>
        <w:pStyle w:val="Titel"/>
        <w:jc w:val="right"/>
        <w:rPr>
          <w:rFonts w:ascii="Arial" w:hAnsi="Arial" w:cs="Arial"/>
          <w:color w:val="002060"/>
          <w:sz w:val="72"/>
          <w:szCs w:val="72"/>
        </w:rPr>
      </w:pPr>
      <w:r w:rsidRPr="004E1F8D">
        <w:rPr>
          <w:rFonts w:ascii="Arial" w:hAnsi="Arial" w:cs="Arial"/>
          <w:color w:val="002060"/>
          <w:sz w:val="72"/>
          <w:szCs w:val="72"/>
        </w:rPr>
        <w:t>Vergabehandbuch</w:t>
      </w:r>
    </w:p>
    <w:p w14:paraId="75F202CA" w14:textId="77777777" w:rsidR="00CC003C" w:rsidRPr="004E1F8D" w:rsidRDefault="00CC003C" w:rsidP="004E1F8D">
      <w:pPr>
        <w:pStyle w:val="Titel"/>
        <w:jc w:val="right"/>
        <w:rPr>
          <w:color w:val="002060"/>
        </w:rPr>
      </w:pPr>
    </w:p>
    <w:p w14:paraId="60620880" w14:textId="77777777" w:rsidR="00CC003C" w:rsidRPr="004E1F8D" w:rsidRDefault="00CC003C" w:rsidP="004E1F8D">
      <w:pPr>
        <w:pStyle w:val="Titel"/>
        <w:jc w:val="right"/>
        <w:rPr>
          <w:color w:val="002060"/>
        </w:rPr>
      </w:pPr>
    </w:p>
    <w:p w14:paraId="2BECFFED" w14:textId="77777777" w:rsidR="00CC003C" w:rsidRPr="004E1F8D" w:rsidRDefault="00CC003C" w:rsidP="004E1F8D">
      <w:pPr>
        <w:pStyle w:val="Titel"/>
        <w:jc w:val="right"/>
        <w:rPr>
          <w:color w:val="002060"/>
        </w:rPr>
      </w:pPr>
    </w:p>
    <w:p w14:paraId="3E22F061" w14:textId="77777777" w:rsidR="00CC003C" w:rsidRPr="004E1F8D" w:rsidRDefault="00CC003C" w:rsidP="004E1F8D">
      <w:pPr>
        <w:pStyle w:val="Titel"/>
        <w:jc w:val="right"/>
        <w:rPr>
          <w:color w:val="002060"/>
        </w:rPr>
      </w:pPr>
    </w:p>
    <w:p w14:paraId="5D6C8570" w14:textId="77777777" w:rsidR="00CC003C" w:rsidRPr="004E1F8D" w:rsidRDefault="00CC003C" w:rsidP="004E1F8D">
      <w:pPr>
        <w:pStyle w:val="Titel"/>
        <w:jc w:val="right"/>
        <w:rPr>
          <w:color w:val="002060"/>
        </w:rPr>
      </w:pPr>
    </w:p>
    <w:p w14:paraId="4779F378" w14:textId="2EBDF15A" w:rsidR="00CC003C" w:rsidRDefault="00CC003C">
      <w:r>
        <w:br w:type="page"/>
      </w:r>
    </w:p>
    <w:p w14:paraId="47E0D78C" w14:textId="77777777" w:rsidR="00E855FA" w:rsidRDefault="00E855FA" w:rsidP="00860DF7">
      <w:pPr>
        <w:pStyle w:val="Text"/>
        <w:ind w:left="0"/>
      </w:pPr>
    </w:p>
    <w:p w14:paraId="2C7E1DA2" w14:textId="77777777" w:rsidR="00E855FA" w:rsidRDefault="00E855FA">
      <w:pPr>
        <w:pStyle w:val="berschrift2"/>
      </w:pPr>
      <w:r>
        <w:t>Inhaltsverzeichnis</w:t>
      </w:r>
    </w:p>
    <w:p w14:paraId="7D439DEC" w14:textId="77777777" w:rsidR="00E855FA" w:rsidRDefault="00E855FA" w:rsidP="00215321">
      <w:pPr>
        <w:pStyle w:val="Text"/>
        <w:rPr>
          <w:b/>
          <w:bCs/>
        </w:rPr>
      </w:pPr>
      <w:r>
        <w:rPr>
          <w:b/>
          <w:bCs/>
        </w:rPr>
        <w:t>Ausschr</w:t>
      </w:r>
      <w:r w:rsidR="00215321">
        <w:rPr>
          <w:b/>
          <w:bCs/>
        </w:rPr>
        <w:t>eibungs- und Vergaberichtlinien</w:t>
      </w:r>
    </w:p>
    <w:p w14:paraId="260E7147" w14:textId="77777777" w:rsidR="00E855FA" w:rsidRDefault="00E855FA">
      <w:pPr>
        <w:pStyle w:val="Text"/>
      </w:pPr>
      <w:r>
        <w:rPr>
          <w:b/>
          <w:bCs/>
        </w:rPr>
        <w:t>Anlage 01</w:t>
      </w:r>
      <w:r>
        <w:rPr>
          <w:b/>
          <w:bCs/>
        </w:rPr>
        <w:br/>
      </w:r>
      <w:r>
        <w:t>Bietervorschlagsliste</w:t>
      </w:r>
    </w:p>
    <w:p w14:paraId="131C8517" w14:textId="77777777" w:rsidR="00E855FA" w:rsidRDefault="00E855FA">
      <w:pPr>
        <w:pStyle w:val="Text"/>
      </w:pPr>
      <w:r>
        <w:rPr>
          <w:b/>
          <w:bCs/>
        </w:rPr>
        <w:t>Anlage 02</w:t>
      </w:r>
      <w:r>
        <w:rPr>
          <w:b/>
          <w:bCs/>
        </w:rPr>
        <w:br/>
      </w:r>
      <w:r>
        <w:t>Präqualifikation 1 Verfahren</w:t>
      </w:r>
      <w:r>
        <w:br/>
        <w:t>Präqualifikation 2 Selbstauskunft</w:t>
      </w:r>
      <w:r>
        <w:br/>
        <w:t>Präqualifikation 3 Auswertung</w:t>
      </w:r>
    </w:p>
    <w:p w14:paraId="482A8418" w14:textId="33276D7F" w:rsidR="00E855FA" w:rsidRDefault="00E855FA">
      <w:pPr>
        <w:pStyle w:val="Text"/>
      </w:pPr>
      <w:r>
        <w:rPr>
          <w:b/>
          <w:bCs/>
        </w:rPr>
        <w:t>Anlage 03</w:t>
      </w:r>
      <w:r>
        <w:rPr>
          <w:b/>
          <w:bCs/>
        </w:rPr>
        <w:br/>
      </w:r>
      <w:r>
        <w:t xml:space="preserve">Aufforderung zur Abgabe eines Angebotes </w:t>
      </w:r>
      <w:r>
        <w:br/>
        <w:t>AAB Allgemeine Ausschreibungs-Bedingungen</w:t>
      </w:r>
      <w:r>
        <w:br/>
        <w:t>AVB Allgemeine Vertrags-Bedingungen</w:t>
      </w:r>
      <w:r w:rsidR="00CC003C">
        <w:t xml:space="preserve"> </w:t>
      </w:r>
    </w:p>
    <w:p w14:paraId="221A642A" w14:textId="77777777" w:rsidR="00E855FA" w:rsidRDefault="00E855FA">
      <w:pPr>
        <w:pStyle w:val="Text"/>
      </w:pPr>
      <w:r>
        <w:rPr>
          <w:b/>
          <w:bCs/>
        </w:rPr>
        <w:t>Anlage 04</w:t>
      </w:r>
      <w:r>
        <w:rPr>
          <w:b/>
          <w:bCs/>
        </w:rPr>
        <w:br/>
      </w:r>
      <w:r>
        <w:t>AVA-Steuerung Arbeitsanweisung</w:t>
      </w:r>
      <w:r>
        <w:br/>
        <w:t>AVA Steuerung</w:t>
      </w:r>
    </w:p>
    <w:p w14:paraId="698151C2" w14:textId="77777777" w:rsidR="00E855FA" w:rsidRDefault="00E855FA">
      <w:pPr>
        <w:pStyle w:val="Text"/>
      </w:pPr>
      <w:r>
        <w:rPr>
          <w:b/>
          <w:bCs/>
        </w:rPr>
        <w:t>Anlage 05</w:t>
      </w:r>
      <w:r>
        <w:rPr>
          <w:b/>
          <w:bCs/>
        </w:rPr>
        <w:br/>
      </w:r>
      <w:r>
        <w:t>Angebotseröffnungsprotokoll</w:t>
      </w:r>
    </w:p>
    <w:p w14:paraId="212A69A7" w14:textId="77777777" w:rsidR="00E855FA" w:rsidRDefault="00E855FA">
      <w:pPr>
        <w:pStyle w:val="Text"/>
      </w:pPr>
      <w:r>
        <w:rPr>
          <w:b/>
          <w:bCs/>
        </w:rPr>
        <w:t>Anlage 06</w:t>
      </w:r>
      <w:r>
        <w:rPr>
          <w:b/>
          <w:bCs/>
        </w:rPr>
        <w:br/>
      </w:r>
      <w:r>
        <w:t>Preisspiegel / Einheitspreis- und Angebotsvergleich</w:t>
      </w:r>
    </w:p>
    <w:p w14:paraId="7323EDE7" w14:textId="77777777" w:rsidR="00E855FA" w:rsidRDefault="00E855FA">
      <w:pPr>
        <w:pStyle w:val="Text"/>
      </w:pPr>
      <w:r>
        <w:rPr>
          <w:b/>
          <w:bCs/>
        </w:rPr>
        <w:t>Anlage 07</w:t>
      </w:r>
      <w:r>
        <w:rPr>
          <w:b/>
          <w:bCs/>
        </w:rPr>
        <w:br/>
      </w:r>
      <w:r>
        <w:t>Verhandlungsvorschlagliste</w:t>
      </w:r>
    </w:p>
    <w:p w14:paraId="446AA6A3" w14:textId="1E893573" w:rsidR="00E855FA" w:rsidRDefault="00E855FA">
      <w:pPr>
        <w:pStyle w:val="Text"/>
      </w:pPr>
      <w:r>
        <w:rPr>
          <w:b/>
          <w:bCs/>
        </w:rPr>
        <w:t>Anlage 08</w:t>
      </w:r>
      <w:r>
        <w:rPr>
          <w:b/>
          <w:bCs/>
        </w:rPr>
        <w:br/>
      </w:r>
      <w:r>
        <w:t xml:space="preserve">Checkliste für das Vergabegespräch </w:t>
      </w:r>
      <w:r>
        <w:br/>
        <w:t xml:space="preserve">Vergabeverhandlungsprotokoll </w:t>
      </w:r>
    </w:p>
    <w:p w14:paraId="4A878E76" w14:textId="77777777" w:rsidR="00E855FA" w:rsidRDefault="00E855FA">
      <w:pPr>
        <w:pStyle w:val="Text"/>
      </w:pPr>
      <w:r>
        <w:rPr>
          <w:b/>
          <w:bCs/>
        </w:rPr>
        <w:t>Anlage 09</w:t>
      </w:r>
      <w:r>
        <w:rPr>
          <w:b/>
          <w:bCs/>
        </w:rPr>
        <w:br/>
      </w:r>
      <w:r>
        <w:t>Angebotsvergleich und Vergabevorschlag</w:t>
      </w:r>
    </w:p>
    <w:p w14:paraId="4D711723" w14:textId="77777777" w:rsidR="00E855FA" w:rsidRDefault="00E855FA">
      <w:pPr>
        <w:pStyle w:val="Text"/>
      </w:pPr>
      <w:r>
        <w:rPr>
          <w:b/>
          <w:bCs/>
        </w:rPr>
        <w:t>Anlage 10</w:t>
      </w:r>
      <w:r>
        <w:rPr>
          <w:b/>
          <w:bCs/>
        </w:rPr>
        <w:br/>
      </w:r>
      <w:r>
        <w:t>Verdingungsunterlagen</w:t>
      </w:r>
    </w:p>
    <w:p w14:paraId="0691847E" w14:textId="77777777" w:rsidR="00E855FA" w:rsidRDefault="00E855FA">
      <w:pPr>
        <w:pStyle w:val="Text"/>
      </w:pPr>
    </w:p>
    <w:p w14:paraId="17948308" w14:textId="77777777" w:rsidR="00E855FA" w:rsidRDefault="00E855FA">
      <w:pPr>
        <w:pStyle w:val="berschrift2"/>
        <w:sectPr w:rsidR="00E855FA" w:rsidSect="00525617">
          <w:headerReference w:type="even" r:id="rId8"/>
          <w:headerReference w:type="default" r:id="rId9"/>
          <w:footerReference w:type="even" r:id="rId10"/>
          <w:footerReference w:type="default" r:id="rId11"/>
          <w:headerReference w:type="first" r:id="rId12"/>
          <w:footerReference w:type="first" r:id="rId13"/>
          <w:pgSz w:w="11906" w:h="16838" w:code="9"/>
          <w:pgMar w:top="2268" w:right="851" w:bottom="1134" w:left="1134" w:header="709" w:footer="680" w:gutter="0"/>
          <w:cols w:space="720"/>
        </w:sectPr>
      </w:pPr>
    </w:p>
    <w:p w14:paraId="377398A8" w14:textId="12F1D78E" w:rsidR="00E855FA" w:rsidRDefault="00E855FA">
      <w:pPr>
        <w:pStyle w:val="Textkrper-Zeileneinzug"/>
      </w:pPr>
      <w:r>
        <w:lastRenderedPageBreak/>
        <w:t xml:space="preserve">Ziel der folgenden Richtlinien bei Bauprojekten ist, ein wirtschaftliches Ausschreibungsergebnis mit markt- bzw. wettbewerbsgerechten Preisen zu erreichen, eine faire Behandlung der beteiligten Firmen zu gewährleisten, jede Form von Vorteilsnahme zu unterbinden und im Ergebnis auch </w:t>
      </w:r>
      <w:r w:rsidR="00EC563C">
        <w:t>langfristig Bauvorhaben unserer Auftraggeber</w:t>
      </w:r>
      <w:r>
        <w:t xml:space="preserve"> eine breite Wettbewerbsbasis zu sichern. </w:t>
      </w:r>
    </w:p>
    <w:p w14:paraId="68B43B32" w14:textId="77777777" w:rsidR="00E855FA" w:rsidRDefault="00EC563C">
      <w:pPr>
        <w:pStyle w:val="berschrift2"/>
      </w:pPr>
      <w:r>
        <w:t xml:space="preserve">1. Geltungsbereich </w:t>
      </w:r>
    </w:p>
    <w:p w14:paraId="654FE905" w14:textId="77777777" w:rsidR="00E855FA" w:rsidRDefault="00E855FA">
      <w:pPr>
        <w:pStyle w:val="Textkrper-Zeileneinzug"/>
      </w:pPr>
      <w:r>
        <w:t>Ausschreibungen sind für</w:t>
      </w:r>
      <w:r w:rsidR="00102D3A">
        <w:t xml:space="preserve"> alle</w:t>
      </w:r>
      <w:r>
        <w:t xml:space="preserve"> Bauleistunge</w:t>
      </w:r>
      <w:r w:rsidR="00102D3A">
        <w:t>n generell vorgeschrieben</w:t>
      </w:r>
      <w:r>
        <w:t xml:space="preserve">. Für Leistungspakete allgemein gelten die anhängenden Vollmachten. </w:t>
      </w:r>
    </w:p>
    <w:p w14:paraId="45AB4852" w14:textId="77777777" w:rsidR="00E855FA" w:rsidRDefault="00E855FA">
      <w:pPr>
        <w:pStyle w:val="Textkrper-Zeileneinzug"/>
      </w:pPr>
      <w:r>
        <w:t>Eine Umgehung der o.g. Vorgabe, d.h. ein Verzicht auf ein Ausschrei</w:t>
      </w:r>
      <w:r w:rsidR="00EC563C">
        <w:t>bungsverfahren ist lediglich in</w:t>
      </w:r>
      <w:r>
        <w:t xml:space="preserve"> Ausnahmefällen möglich, schriftlich zu </w:t>
      </w:r>
      <w:r w:rsidR="00EC563C">
        <w:t>begründen und durch die Büroleitung</w:t>
      </w:r>
      <w:r>
        <w:t xml:space="preserve"> zu genehmigen. Ein einmal begonnenes Ausschreibungsverfahren (Versand der Ausschreibungsunterlagen) unterliegt jedoch in jedem Fall den nachstehenden Regeln. </w:t>
      </w:r>
    </w:p>
    <w:p w14:paraId="57025405" w14:textId="77777777" w:rsidR="00E855FA" w:rsidRDefault="00E855FA">
      <w:pPr>
        <w:pStyle w:val="berschrift2"/>
      </w:pPr>
      <w:r>
        <w:t xml:space="preserve">2. Allgemeine Regeln </w:t>
      </w:r>
    </w:p>
    <w:p w14:paraId="0F5E22AE" w14:textId="77777777" w:rsidR="00E855FA" w:rsidRDefault="00E855FA">
      <w:pPr>
        <w:pStyle w:val="Text"/>
      </w:pPr>
      <w:r>
        <w:t xml:space="preserve">Diese Ausschreibungs- und Vergaberichtlinien gelten ausschließlich für Werkverträge mit ausführenden Unternehmern. </w:t>
      </w:r>
    </w:p>
    <w:p w14:paraId="29651F0A" w14:textId="77777777" w:rsidR="00E855FA" w:rsidRDefault="00E855FA">
      <w:pPr>
        <w:pStyle w:val="Textkrper-Zeileneinzug"/>
      </w:pPr>
      <w:r>
        <w:t>Die Ausschreibungsunterlagen werde</w:t>
      </w:r>
      <w:r w:rsidR="00102D3A">
        <w:t>n durch externe</w:t>
      </w:r>
      <w:r>
        <w:t xml:space="preserve"> Architekten- oder Ingenieurbüro</w:t>
      </w:r>
      <w:r w:rsidR="00102D3A">
        <w:t>s</w:t>
      </w:r>
      <w:r>
        <w:t xml:space="preserve"> erarbeitet, mit Ausnahme der Vertragsmuster und der Vertr</w:t>
      </w:r>
      <w:r w:rsidR="00102D3A">
        <w:t xml:space="preserve">agsbedingungen, die von </w:t>
      </w:r>
      <w:r w:rsidR="00102D3A" w:rsidRPr="00102D3A">
        <w:rPr>
          <w:b/>
        </w:rPr>
        <w:t>volkmann-pm</w:t>
      </w:r>
      <w:r>
        <w:t xml:space="preserve"> beigestellt werden. </w:t>
      </w:r>
    </w:p>
    <w:p w14:paraId="27649475" w14:textId="77777777" w:rsidR="00E855FA" w:rsidRDefault="00E855FA">
      <w:pPr>
        <w:pStyle w:val="Textkrper-Zeileneinzug"/>
      </w:pPr>
      <w:r>
        <w:t xml:space="preserve">Es besteht die Möglichkeit, Ausschreibungen unter Zulassung von Sondervorschlägen und Nebenangeboten zu formulieren, um die wirtschaftlichsten Lösungen aufgrund unternehmensspezifischer Besonderheiten auszuloten. </w:t>
      </w:r>
    </w:p>
    <w:p w14:paraId="58A00D77" w14:textId="77777777" w:rsidR="00E855FA" w:rsidRDefault="00E855FA">
      <w:pPr>
        <w:pStyle w:val="Textkrper-Zeileneinzug"/>
      </w:pPr>
      <w:r>
        <w:t xml:space="preserve">Allen Wettbewerbsteilnehmern sind gleiche Unterlagen zur Verfügung zu stellen und die gleichen wesentlichen Auskünfte zu erteilen. </w:t>
      </w:r>
    </w:p>
    <w:p w14:paraId="0F317A95" w14:textId="77777777" w:rsidR="00E855FA" w:rsidRDefault="00E855FA">
      <w:pPr>
        <w:pStyle w:val="Textkrper-Zeileneinzug"/>
      </w:pPr>
      <w:r>
        <w:t xml:space="preserve">Die Aufträge werden in Form </w:t>
      </w:r>
      <w:r w:rsidR="00102D3A">
        <w:t xml:space="preserve">von Werkverträgen (nach </w:t>
      </w:r>
      <w:r w:rsidR="00102D3A" w:rsidRPr="00045EE0">
        <w:rPr>
          <w:bCs/>
        </w:rPr>
        <w:t>volkmann-pm</w:t>
      </w:r>
      <w:r>
        <w:t xml:space="preserve"> Standard) verhandelt und erteilt. </w:t>
      </w:r>
    </w:p>
    <w:p w14:paraId="78384C44" w14:textId="77777777" w:rsidR="00E855FA" w:rsidRDefault="00E855FA">
      <w:pPr>
        <w:pStyle w:val="Textkrper-Zeileneinzug"/>
      </w:pPr>
      <w:r>
        <w:t xml:space="preserve">Der Zuschlag erfolgt unter Berücksichtigung aller Umstände (Eignung des Bieters, gestalterische und funktionsbedingte Gesichtspunkte, etc.) auf das wirtschaftlichste Angebot. </w:t>
      </w:r>
    </w:p>
    <w:p w14:paraId="22D2B801" w14:textId="77777777" w:rsidR="00E855FA" w:rsidRDefault="00E855FA">
      <w:pPr>
        <w:pStyle w:val="Textkrper-Zeileneinzug"/>
      </w:pPr>
      <w:r>
        <w:t>We</w:t>
      </w:r>
      <w:r w:rsidR="00102D3A">
        <w:t>nn im Interesse des Auftraggebers (AG)</w:t>
      </w:r>
      <w:r>
        <w:t xml:space="preserve"> unmittelbarer Handlungsbedarf besteht, sind die Mitarbeiter verpflichtet, Sofortmaßnahmen zu ergreifen, um einen Schaden abzuwenden; auch dann, wenn diese den folgenden Richtlinien entgegenstehen. </w:t>
      </w:r>
    </w:p>
    <w:p w14:paraId="08E9B60A" w14:textId="77777777" w:rsidR="00E855FA" w:rsidRDefault="00E855FA">
      <w:pPr>
        <w:pStyle w:val="berschrift2"/>
      </w:pPr>
      <w:r>
        <w:t xml:space="preserve">3. Ausschreibungsverfahren </w:t>
      </w:r>
    </w:p>
    <w:p w14:paraId="08F94F8A" w14:textId="77777777" w:rsidR="00E855FA" w:rsidRDefault="00E855FA">
      <w:pPr>
        <w:pStyle w:val="Textkrper-Zeileneinzug"/>
      </w:pPr>
      <w:r>
        <w:t xml:space="preserve">Beschränkte Ausschreibung. Es sind in der Regel zwischen drei und acht geeignete Bieterfirmen zur Abgabe eines Angebotes aufzufordern. </w:t>
      </w:r>
    </w:p>
    <w:p w14:paraId="5F6D138F" w14:textId="77777777" w:rsidR="00E855FA" w:rsidRDefault="00E855FA">
      <w:pPr>
        <w:pStyle w:val="berschrift2"/>
      </w:pPr>
      <w:r>
        <w:t xml:space="preserve">4. Auswahl der Bieter </w:t>
      </w:r>
    </w:p>
    <w:p w14:paraId="76943827" w14:textId="63B06678" w:rsidR="00E855FA" w:rsidRDefault="00E855FA">
      <w:pPr>
        <w:pStyle w:val="Textkrper-Zeileneinzug"/>
      </w:pPr>
      <w:r>
        <w:t xml:space="preserve">Die Bewerber werden insbesondere nachfolgenden Kriterien ausgewählt: </w:t>
      </w:r>
    </w:p>
    <w:p w14:paraId="2F3B1CE4" w14:textId="77777777" w:rsidR="00E855FA" w:rsidRDefault="00E855FA">
      <w:pPr>
        <w:pStyle w:val="Standardeinzug"/>
        <w:ind w:left="1494"/>
      </w:pPr>
      <w:r>
        <w:t xml:space="preserve">Erfahrung mit Vorhaben vergleichbaren Leistungsumfangs </w:t>
      </w:r>
    </w:p>
    <w:p w14:paraId="09D01FE3" w14:textId="77777777" w:rsidR="00E855FA" w:rsidRDefault="00E855FA">
      <w:pPr>
        <w:pStyle w:val="Standardeinzug"/>
        <w:ind w:left="1494"/>
      </w:pPr>
      <w:r>
        <w:t xml:space="preserve">Ausreichende Mitarbeiterzahl </w:t>
      </w:r>
    </w:p>
    <w:p w14:paraId="1063FEC4" w14:textId="77777777" w:rsidR="00E855FA" w:rsidRDefault="00E855FA">
      <w:pPr>
        <w:pStyle w:val="Standardeinzug"/>
        <w:ind w:left="1494"/>
      </w:pPr>
      <w:r>
        <w:t xml:space="preserve">Stand der technischen Ausrüstung </w:t>
      </w:r>
    </w:p>
    <w:p w14:paraId="67315AA0" w14:textId="77777777" w:rsidR="00E855FA" w:rsidRDefault="00E855FA">
      <w:pPr>
        <w:pStyle w:val="Standardeinzug"/>
        <w:ind w:left="1494"/>
      </w:pPr>
      <w:r>
        <w:t xml:space="preserve">Wirtschaftliche Situation </w:t>
      </w:r>
    </w:p>
    <w:p w14:paraId="6B6E9985" w14:textId="0DE71ECD" w:rsidR="00E855FA" w:rsidRDefault="00102D3A">
      <w:pPr>
        <w:pStyle w:val="Textkrper-Zeileneinzug"/>
      </w:pPr>
      <w:r>
        <w:lastRenderedPageBreak/>
        <w:t>Auf Anforderung oder des AG ist</w:t>
      </w:r>
      <w:r w:rsidR="00E855FA">
        <w:t xml:space="preserve"> für die Bieterauswahl eine Präqualifikation </w:t>
      </w:r>
      <w:r w:rsidR="00E855FA">
        <w:rPr>
          <w:b/>
        </w:rPr>
        <w:t>[Anl. 02]</w:t>
      </w:r>
      <w:r w:rsidR="00E855FA">
        <w:t xml:space="preserve"> durchzuführen. </w:t>
      </w:r>
    </w:p>
    <w:p w14:paraId="0D0464A7" w14:textId="5A222130" w:rsidR="00E855FA" w:rsidRDefault="00E855FA">
      <w:pPr>
        <w:pStyle w:val="Textkrper-Zeileneinzug"/>
      </w:pPr>
      <w:r>
        <w:t>Langjährigen Geschäft</w:t>
      </w:r>
      <w:r w:rsidR="00102D3A">
        <w:t xml:space="preserve">spartnern </w:t>
      </w:r>
      <w:r w:rsidR="00B40A71">
        <w:t>mit engen Verbindungen zum</w:t>
      </w:r>
      <w:r w:rsidR="00102D3A">
        <w:t xml:space="preserve"> AG, bzw</w:t>
      </w:r>
      <w:r w:rsidR="00102D3A" w:rsidRPr="00045EE0">
        <w:t xml:space="preserve">. </w:t>
      </w:r>
      <w:r w:rsidR="00B52B0C">
        <w:rPr>
          <w:bCs/>
        </w:rPr>
        <w:t>des Planers</w:t>
      </w:r>
      <w:r w:rsidR="00B52B0C">
        <w:t xml:space="preserve"> </w:t>
      </w:r>
      <w:r>
        <w:t xml:space="preserve">darf keine Sonderrolle eingeräumt werden. Gerade </w:t>
      </w:r>
      <w:r w:rsidR="00B40A71">
        <w:t>diese Partner müssen wissen, dass</w:t>
      </w:r>
      <w:r>
        <w:t xml:space="preserve"> sie sich dem Wettbewerb bedingungslos stellen müssen.</w:t>
      </w:r>
    </w:p>
    <w:p w14:paraId="7C960C58" w14:textId="77777777" w:rsidR="00E855FA" w:rsidRDefault="00E855FA">
      <w:pPr>
        <w:pStyle w:val="berschrift2"/>
      </w:pPr>
      <w:r>
        <w:t>5. Besondere Richtlinien zum Ausschreibungs- und Vergabeablauf</w:t>
      </w:r>
    </w:p>
    <w:p w14:paraId="23647638" w14:textId="77777777" w:rsidR="00E855FA" w:rsidRDefault="00E855FA">
      <w:pPr>
        <w:pStyle w:val="Textkrper-Zeileneinzug"/>
      </w:pPr>
      <w:r>
        <w:t xml:space="preserve">(1)  Sofern eine Bietervorschlagsliste </w:t>
      </w:r>
      <w:r>
        <w:rPr>
          <w:b/>
        </w:rPr>
        <w:t>[Anl. 01]</w:t>
      </w:r>
      <w:r>
        <w:t xml:space="preserve"> über den mit der Planung beauftragten Architekten oder Ingenieur erstell</w:t>
      </w:r>
      <w:r w:rsidR="00B40A71">
        <w:t xml:space="preserve">t wird, ist - nach Ermessen des AG </w:t>
      </w:r>
      <w:r>
        <w:t>- diese in mindestens einer Position zu verändern und/oder zu ergänzen - ohne Wissen des entsprechenden Planers. Die Angebotsunterlagen der veränder</w:t>
      </w:r>
      <w:r w:rsidR="00B40A71">
        <w:t xml:space="preserve">ten Position werden von </w:t>
      </w:r>
      <w:r w:rsidR="00B40A71" w:rsidRPr="00045EE0">
        <w:rPr>
          <w:bCs/>
        </w:rPr>
        <w:t>volkmann-pm</w:t>
      </w:r>
      <w:r>
        <w:t xml:space="preserve"> versandt. </w:t>
      </w:r>
    </w:p>
    <w:p w14:paraId="60180BB2" w14:textId="77777777" w:rsidR="00E855FA" w:rsidRDefault="00E855FA">
      <w:pPr>
        <w:pStyle w:val="Textkrper-Zeileneinzug"/>
      </w:pPr>
      <w:r>
        <w:t>(2)  Die vom PS/Arch./Ing.</w:t>
      </w:r>
      <w:r>
        <w:rPr>
          <w:rStyle w:val="Funotenzeichen"/>
        </w:rPr>
        <w:footnoteReference w:id="1"/>
      </w:r>
      <w:r>
        <w:t xml:space="preserve"> aufgestellten und nach Abs. (1) entsprechend ergänzten Bieterlisten sind bis zur Ver</w:t>
      </w:r>
      <w:r w:rsidR="00B40A71">
        <w:t>gabeentscheidung unter Verschluss</w:t>
      </w:r>
      <w:r>
        <w:t xml:space="preserve"> zu halten und dürfen ausschließlich de</w:t>
      </w:r>
      <w:r w:rsidR="00B40A71">
        <w:t xml:space="preserve">m AG und </w:t>
      </w:r>
      <w:r w:rsidR="00B40A71" w:rsidRPr="00045EE0">
        <w:rPr>
          <w:bCs/>
        </w:rPr>
        <w:t>volkmann-pm</w:t>
      </w:r>
      <w:r>
        <w:t xml:space="preserve"> bekannt und zugänglich sein. </w:t>
      </w:r>
    </w:p>
    <w:p w14:paraId="1585A533" w14:textId="77777777" w:rsidR="00E855FA" w:rsidRDefault="00E855FA">
      <w:pPr>
        <w:pStyle w:val="Textkrper-Zeileneinzug"/>
      </w:pPr>
      <w:r>
        <w:t xml:space="preserve">(3)  Die Anschreiben und die Ausschreibungsunterlagen </w:t>
      </w:r>
      <w:r>
        <w:rPr>
          <w:b/>
          <w:bCs/>
        </w:rPr>
        <w:t>[Anl. 10]</w:t>
      </w:r>
      <w:r>
        <w:t xml:space="preserve"> werden durch den PS/Arch./Ing. versandt. </w:t>
      </w:r>
    </w:p>
    <w:p w14:paraId="431F60D5" w14:textId="77777777" w:rsidR="00E855FA" w:rsidRDefault="00E855FA">
      <w:pPr>
        <w:pStyle w:val="Textkrper-Zeileneinzug"/>
      </w:pPr>
      <w:r>
        <w:t xml:space="preserve">(4)  Angebotseröffnung (Rückgabe der ausgefüllten Leistungsverzeichnisse bzw. Angebote) erfolgt ausschließlich im verschlossenen Umschlag bzw. im verschlossenen Paket mit dem Vermerk „Vertraulich“ bei dem PS/Arch./Ing. zum festgesetzten spätesten Zeitpunkt und Ort. </w:t>
      </w:r>
    </w:p>
    <w:p w14:paraId="25D293E9" w14:textId="77777777" w:rsidR="00E855FA" w:rsidRDefault="00E855FA">
      <w:pPr>
        <w:pStyle w:val="Textkrper-Zeileneinzug"/>
      </w:pPr>
      <w:r>
        <w:t>(5)  Werden von den aufgeforderten Bietern Anträge auf Verlängerung der Abgabefrist gestellt, kann von einem</w:t>
      </w:r>
      <w:r w:rsidR="00B40A71">
        <w:t xml:space="preserve"> Mitarbeiter des </w:t>
      </w:r>
      <w:r w:rsidR="00B40A71" w:rsidRPr="00B40A71">
        <w:rPr>
          <w:b/>
        </w:rPr>
        <w:t>AG/volkmann-pm</w:t>
      </w:r>
      <w:r>
        <w:t xml:space="preserve"> nach Abwägung der terminlichen Situation dem entsprochen werden, in der Regel sollte dies jedoch erst bei Vorliegen von mindestens zwei Verlängerungsanträgen gestattet werden. In jedem Fall ist die Verlängerung vom PS/Arch./Ing. unverzüglich schriftlich per Fax allen Bietern zu übermitteln. Eine Verlängerung erst am vereinbarten Ablieferungstag ist nicht mehr zu gestatten.</w:t>
      </w:r>
    </w:p>
    <w:p w14:paraId="1A8124E4" w14:textId="77777777" w:rsidR="00E855FA" w:rsidRDefault="00E855FA">
      <w:pPr>
        <w:pStyle w:val="Textkrper-Zeileneinzug"/>
      </w:pPr>
      <w:r>
        <w:t>(6)  Die Angebote werden vom PS/Arch./Ing. mit Datum und Uhrzeit des Eingangs versehen, ungeöffn</w:t>
      </w:r>
      <w:r w:rsidR="00B40A71">
        <w:t>et gesammelt und unter Verschluss</w:t>
      </w:r>
      <w:r>
        <w:t xml:space="preserve"> gehalten. Die Eröffnung der Angebote geschieht nach dem „Vier - Augen - Prinzip“, insbesondere mu</w:t>
      </w:r>
      <w:r w:rsidR="00B40A71">
        <w:t>ss</w:t>
      </w:r>
      <w:r>
        <w:t xml:space="preserve"> </w:t>
      </w:r>
      <w:r w:rsidR="00B40A71">
        <w:t>je ein Mitarbeiter des AG (oder ein vom AG</w:t>
      </w:r>
      <w:r>
        <w:t xml:space="preserve"> bestimmter externer Vertreter) und der PS/Arch./Ing. anwesend sein. Es werden ein vollständiges Angebotseröffnungsprotokoll </w:t>
      </w:r>
      <w:r>
        <w:rPr>
          <w:b/>
        </w:rPr>
        <w:t>[Anl. 05]</w:t>
      </w:r>
      <w:r>
        <w:t xml:space="preserve"> und Kopien der Begleitschreiben nebst zugehörigem Preissummenblatt der je</w:t>
      </w:r>
      <w:r w:rsidR="00B40A71">
        <w:t>weiligen Angebote aufge</w:t>
      </w:r>
      <w:r>
        <w:t xml:space="preserve">stellt. </w:t>
      </w:r>
    </w:p>
    <w:p w14:paraId="67711119" w14:textId="77777777" w:rsidR="00E855FA" w:rsidRDefault="00E855FA">
      <w:pPr>
        <w:pStyle w:val="Textkrper-Zeileneinzug"/>
      </w:pPr>
      <w:r>
        <w:t>(7)  Angebote, die nach dem geforderten Eröffnungstermin eingegangen sind, werden nich</w:t>
      </w:r>
      <w:r w:rsidR="00B40A71">
        <w:t>t gewertet. Durch AG/volkmann-pm</w:t>
      </w:r>
      <w:r>
        <w:t xml:space="preserve"> können begründete Ausnahmen zugelassen werden. </w:t>
      </w:r>
    </w:p>
    <w:p w14:paraId="77A9D6DA" w14:textId="77777777" w:rsidR="00E855FA" w:rsidRDefault="00E855FA">
      <w:pPr>
        <w:pStyle w:val="Textkrper-Zeileneinzug"/>
      </w:pPr>
      <w:r>
        <w:t>(8)  G</w:t>
      </w:r>
      <w:r w:rsidR="00B40A71">
        <w:t>enerell ist sicherzustellen, dass</w:t>
      </w:r>
      <w:r>
        <w:t xml:space="preserve"> nur Angebote gewertet werden, die den Allgemeinen Ausschreibungsbedingungen AAB </w:t>
      </w:r>
      <w:r>
        <w:rPr>
          <w:b/>
        </w:rPr>
        <w:t>[Anl. 03]</w:t>
      </w:r>
      <w:r>
        <w:t xml:space="preserve"> genügen, die jeder Ausschreibung voranzustellen sind. </w:t>
      </w:r>
    </w:p>
    <w:p w14:paraId="49A4632E" w14:textId="77777777" w:rsidR="00E855FA" w:rsidRDefault="00E855FA">
      <w:pPr>
        <w:pStyle w:val="Textkrper-Zeileneinzug"/>
      </w:pPr>
      <w:r>
        <w:t xml:space="preserve">(9)  Die rechnerische, technische und wirtschaftliche Angebotsprüfung übernimmt </w:t>
      </w:r>
      <w:r w:rsidR="00B40A71">
        <w:t xml:space="preserve">volkmann-pm oder </w:t>
      </w:r>
      <w:r>
        <w:t>ein externes Architekten- oder Ingenieurbüro. Die Prüfung ist entsprechend zu bestätigen.</w:t>
      </w:r>
    </w:p>
    <w:p w14:paraId="427DAA76" w14:textId="77777777" w:rsidR="00E855FA" w:rsidRDefault="00AA1170">
      <w:pPr>
        <w:pStyle w:val="Textkrper-Zeileneinzug"/>
      </w:pPr>
      <w:r>
        <w:t>(10)  Volkmann-pm oder</w:t>
      </w:r>
      <w:r w:rsidR="00E855FA">
        <w:t xml:space="preserve"> Arch./Ing. erstellt auf Basis der Angebotsprüfung eine Preisübersicht (Preisspiegel) </w:t>
      </w:r>
      <w:r w:rsidR="00E855FA">
        <w:rPr>
          <w:b/>
        </w:rPr>
        <w:t>[Anl. 06]</w:t>
      </w:r>
      <w:r w:rsidR="00E855FA">
        <w:t xml:space="preserve"> und Verhandlungsvorschläge </w:t>
      </w:r>
      <w:r w:rsidR="00E855FA">
        <w:rPr>
          <w:b/>
          <w:bCs/>
        </w:rPr>
        <w:t xml:space="preserve">[Anl. 07] </w:t>
      </w:r>
      <w:r w:rsidR="00E855FA">
        <w:t>für die wirtschaftlichsten Ange</w:t>
      </w:r>
      <w:r>
        <w:t>bote. Volkmann-pm</w:t>
      </w:r>
      <w:r w:rsidR="00E855FA">
        <w:t xml:space="preserve"> prüft auf Plausibilität und schlägt vor. </w:t>
      </w:r>
    </w:p>
    <w:p w14:paraId="6A014708" w14:textId="7AB63877" w:rsidR="00E855FA" w:rsidRDefault="00E855FA">
      <w:pPr>
        <w:pStyle w:val="Textkrper-Zeileneinzug"/>
        <w:rPr>
          <w:b/>
        </w:rPr>
      </w:pPr>
      <w:r>
        <w:lastRenderedPageBreak/>
        <w:t>(11)  Es werden mit den Bestbietern getrennte Verhandlungen geführt, die sogenannten Technischen Bietergespräche. Dabei werden technische Details angesprochen und geklärt. Bei den eigentlichen Vergabegesprächen ist sicherzustellen, da</w:t>
      </w:r>
      <w:r w:rsidR="00B52B0C">
        <w:t>ss</w:t>
      </w:r>
      <w:r>
        <w:t xml:space="preserve"> neben den externen Partnern mi</w:t>
      </w:r>
      <w:r w:rsidR="00AA1170">
        <w:t>ndestens ein Mitarbeiter des AG oder ein von AG</w:t>
      </w:r>
      <w:r>
        <w:t xml:space="preserve"> bestimmter externer Vertreter zugegen ist. Die Vergabeverhandlungen sind zu protokollieren </w:t>
      </w:r>
      <w:r>
        <w:rPr>
          <w:b/>
        </w:rPr>
        <w:t>[Anl. 08]</w:t>
      </w:r>
    </w:p>
    <w:p w14:paraId="4E0EF9C3" w14:textId="77777777" w:rsidR="00E855FA" w:rsidRDefault="00E855FA">
      <w:pPr>
        <w:pStyle w:val="Textkrper-Zeileneinzug"/>
      </w:pPr>
      <w:r>
        <w:t xml:space="preserve">(12)  Es können mehrere Verhandlungsrunden zur wirtschaftlichen, technischen und juristischen Zielerreichung geführt werden. </w:t>
      </w:r>
    </w:p>
    <w:p w14:paraId="2F909159" w14:textId="77777777" w:rsidR="00E855FA" w:rsidRDefault="00E855FA">
      <w:pPr>
        <w:pStyle w:val="Textkrper-Zeileneinzug"/>
      </w:pPr>
      <w:r>
        <w:t xml:space="preserve">(13)  Auf den o.g. Grundlagen wird durch </w:t>
      </w:r>
      <w:r w:rsidR="00AA1170">
        <w:t xml:space="preserve">volkmann-pm oder </w:t>
      </w:r>
      <w:r>
        <w:t xml:space="preserve">den beauftragten PS/Arch./Ing. ein abschließender Vergabevorschlag ausgearbeitet </w:t>
      </w:r>
      <w:r>
        <w:rPr>
          <w:b/>
        </w:rPr>
        <w:t xml:space="preserve">[Anl. 09] </w:t>
      </w:r>
      <w:r w:rsidR="00AA1170">
        <w:t>und durch den AG</w:t>
      </w:r>
      <w:r>
        <w:t xml:space="preserve"> entschieden, unter Einhaltung der übergeordneten internen Berechtigungen und Regelungen. Evtl. weitere nachträgliche Abgebote einzelner Bieter nach der Schlu</w:t>
      </w:r>
      <w:r w:rsidR="00AA1170">
        <w:t>ss</w:t>
      </w:r>
      <w:r>
        <w:t xml:space="preserve">verhandlung werden dabei grundsätzlich nicht mehr berücksichtigt. </w:t>
      </w:r>
    </w:p>
    <w:p w14:paraId="5824BF33" w14:textId="77777777" w:rsidR="00E855FA" w:rsidRDefault="00E855FA">
      <w:pPr>
        <w:pStyle w:val="Textkrper-Zeileneinzug"/>
      </w:pPr>
      <w:r>
        <w:t>(14)  Bis zur Vergabeentscheidung ist von allen Mitarbeitern, die von Einzelheiten der Ausschreibung Kenntnis haben</w:t>
      </w:r>
      <w:r w:rsidR="00AA1170">
        <w:t>,</w:t>
      </w:r>
      <w:r>
        <w:t xml:space="preserve"> gegenüber Externen absolutes Stillschweigen darüber zu wahren. Insbesondere gilt dies hinsichtlich Bieterkreis und Kosten. </w:t>
      </w:r>
    </w:p>
    <w:p w14:paraId="14C7E664" w14:textId="3572F08A" w:rsidR="00E855FA" w:rsidRDefault="00E855FA">
      <w:pPr>
        <w:pStyle w:val="Textkrper-Zeileneinzug"/>
      </w:pPr>
      <w:r>
        <w:t>(15)  Der gesamte AVA-Proze</w:t>
      </w:r>
      <w:r w:rsidR="00B52B0C">
        <w:t>ss</w:t>
      </w:r>
      <w:r>
        <w:t xml:space="preserve"> wird in dem Dokument „AVA-Steuerung“ </w:t>
      </w:r>
      <w:r>
        <w:rPr>
          <w:b/>
        </w:rPr>
        <w:t>[Anl. 04]</w:t>
      </w:r>
      <w:r w:rsidR="00AA1170">
        <w:t>.von volkmann-pm bzw.</w:t>
      </w:r>
      <w:r>
        <w:t xml:space="preserve"> PS / Arch. / Ing. dokumentiert </w:t>
      </w:r>
    </w:p>
    <w:p w14:paraId="53DE3C28" w14:textId="77777777" w:rsidR="00E855FA" w:rsidRDefault="00E855FA">
      <w:pPr>
        <w:pStyle w:val="Textkrper-Zeileneinzug"/>
      </w:pPr>
      <w:r>
        <w:t>(16)  Wenn de</w:t>
      </w:r>
      <w:r w:rsidR="00AA1170">
        <w:t>r PS/Arch./Ing. die vom AG</w:t>
      </w:r>
      <w:r>
        <w:t xml:space="preserve"> vorgegebenen Arbeitsmittel nicht einsetzen kann, dann ist das vo</w:t>
      </w:r>
      <w:r w:rsidR="00AA1170">
        <w:t>r Arbeitsaufnahme mit dem AG</w:t>
      </w:r>
      <w:r>
        <w:t xml:space="preserve"> einvernehmlich abzusprechen und zu dokumentieren. </w:t>
      </w:r>
    </w:p>
    <w:p w14:paraId="0FB69C5B" w14:textId="77777777" w:rsidR="00E855FA" w:rsidRDefault="00E855FA">
      <w:pPr>
        <w:pStyle w:val="berschrift1"/>
      </w:pPr>
      <w:r>
        <w:br w:type="page"/>
      </w:r>
      <w:r w:rsidR="005821E5">
        <w:lastRenderedPageBreak/>
        <w:t xml:space="preserve">Vollmachten </w:t>
      </w:r>
    </w:p>
    <w:p w14:paraId="6B991005" w14:textId="77777777" w:rsidR="00E855FA" w:rsidRDefault="00E855FA">
      <w:r>
        <w:t xml:space="preserve">Die nachfolgenden Regelungen werden hier nur nachrichtlich wiedergegeben. Es gelten in jedem Fall nur die neuesten von der Geschäftsleitung freigegebenen „Vollmachten für Objektgeschäfte“. </w:t>
      </w:r>
    </w:p>
    <w:p w14:paraId="6A087C29" w14:textId="77777777" w:rsidR="00E855FA" w:rsidRDefault="00E855FA">
      <w:pPr>
        <w:pStyle w:val="Verzeichnis1"/>
        <w:tabs>
          <w:tab w:val="left" w:pos="1134"/>
        </w:tabs>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2"/>
        <w:gridCol w:w="917"/>
        <w:gridCol w:w="918"/>
        <w:gridCol w:w="918"/>
        <w:gridCol w:w="929"/>
        <w:gridCol w:w="1004"/>
      </w:tblGrid>
      <w:tr w:rsidR="00E855FA" w14:paraId="43850881" w14:textId="77777777" w:rsidTr="00525617">
        <w:tc>
          <w:tcPr>
            <w:tcW w:w="5103" w:type="dxa"/>
            <w:shd w:val="pct20" w:color="000000" w:fill="FFFFFF"/>
          </w:tcPr>
          <w:p w14:paraId="629023E8" w14:textId="77777777" w:rsidR="00E855FA" w:rsidRDefault="00E855FA">
            <w:pPr>
              <w:pStyle w:val="Tabelle"/>
              <w:tabs>
                <w:tab w:val="clear" w:pos="1701"/>
                <w:tab w:val="clear" w:pos="1871"/>
                <w:tab w:val="clear" w:pos="4763"/>
                <w:tab w:val="right" w:pos="3474"/>
              </w:tabs>
              <w:jc w:val="center"/>
              <w:rPr>
                <w:b/>
              </w:rPr>
            </w:pPr>
            <w:r>
              <w:rPr>
                <w:b/>
              </w:rPr>
              <w:t>Vorgang</w:t>
            </w:r>
          </w:p>
        </w:tc>
        <w:tc>
          <w:tcPr>
            <w:tcW w:w="907" w:type="dxa"/>
            <w:shd w:val="pct20" w:color="000000" w:fill="FFFFFF"/>
          </w:tcPr>
          <w:p w14:paraId="4EBE7484" w14:textId="145C3D7C" w:rsidR="00E855FA" w:rsidRDefault="00276158">
            <w:pPr>
              <w:pStyle w:val="Tabelle"/>
              <w:jc w:val="center"/>
              <w:rPr>
                <w:b/>
              </w:rPr>
            </w:pPr>
            <w:r>
              <w:rPr>
                <w:b/>
              </w:rPr>
              <w:t>GF</w:t>
            </w:r>
            <w:r w:rsidR="00B84175">
              <w:rPr>
                <w:b/>
              </w:rPr>
              <w:t xml:space="preserve"> DUS</w:t>
            </w:r>
          </w:p>
        </w:tc>
        <w:tc>
          <w:tcPr>
            <w:tcW w:w="907" w:type="dxa"/>
            <w:shd w:val="pct20" w:color="000000" w:fill="FFFFFF"/>
          </w:tcPr>
          <w:p w14:paraId="7B88C1BE" w14:textId="60E9E9E1" w:rsidR="00E855FA" w:rsidRDefault="00276158">
            <w:pPr>
              <w:pStyle w:val="Tabelle"/>
              <w:jc w:val="center"/>
              <w:rPr>
                <w:b/>
              </w:rPr>
            </w:pPr>
            <w:r>
              <w:rPr>
                <w:b/>
              </w:rPr>
              <w:t xml:space="preserve">HV </w:t>
            </w:r>
            <w:r w:rsidR="00B84175">
              <w:rPr>
                <w:b/>
              </w:rPr>
              <w:t>DUS</w:t>
            </w:r>
          </w:p>
        </w:tc>
        <w:tc>
          <w:tcPr>
            <w:tcW w:w="907" w:type="dxa"/>
            <w:shd w:val="pct20" w:color="000000" w:fill="FFFFFF"/>
          </w:tcPr>
          <w:p w14:paraId="487D9567" w14:textId="77777777" w:rsidR="00E855FA" w:rsidRDefault="00AA1170">
            <w:pPr>
              <w:pStyle w:val="Tabelle"/>
              <w:jc w:val="center"/>
              <w:rPr>
                <w:b/>
                <w:lang w:val="it-IT"/>
              </w:rPr>
            </w:pPr>
            <w:r>
              <w:rPr>
                <w:b/>
                <w:lang w:val="it-IT"/>
              </w:rPr>
              <w:t>V-pm</w:t>
            </w:r>
          </w:p>
        </w:tc>
        <w:tc>
          <w:tcPr>
            <w:tcW w:w="918" w:type="dxa"/>
            <w:shd w:val="pct20" w:color="000000" w:fill="FFFFFF"/>
          </w:tcPr>
          <w:p w14:paraId="14D9622B" w14:textId="77777777" w:rsidR="00E855FA" w:rsidRDefault="00E855FA">
            <w:pPr>
              <w:pStyle w:val="Tabelle"/>
              <w:jc w:val="center"/>
              <w:rPr>
                <w:b/>
                <w:lang w:val="it-IT"/>
              </w:rPr>
            </w:pPr>
          </w:p>
        </w:tc>
        <w:tc>
          <w:tcPr>
            <w:tcW w:w="992" w:type="dxa"/>
            <w:shd w:val="pct20" w:color="000000" w:fill="FFFFFF"/>
          </w:tcPr>
          <w:p w14:paraId="7297C59D" w14:textId="77777777" w:rsidR="00E855FA" w:rsidRDefault="00E855FA">
            <w:pPr>
              <w:pStyle w:val="Tabelle"/>
              <w:jc w:val="center"/>
              <w:rPr>
                <w:b/>
                <w:lang w:val="it-IT"/>
              </w:rPr>
            </w:pPr>
          </w:p>
        </w:tc>
      </w:tr>
      <w:tr w:rsidR="00E855FA" w14:paraId="455B33EA" w14:textId="77777777" w:rsidTr="00525617">
        <w:tc>
          <w:tcPr>
            <w:tcW w:w="5103" w:type="dxa"/>
          </w:tcPr>
          <w:p w14:paraId="61A40910" w14:textId="77777777" w:rsidR="00E855FA" w:rsidRDefault="00E855FA">
            <w:pPr>
              <w:pStyle w:val="Tabelle"/>
              <w:tabs>
                <w:tab w:val="clear" w:pos="1701"/>
                <w:tab w:val="clear" w:pos="1871"/>
                <w:tab w:val="clear" w:pos="4763"/>
                <w:tab w:val="right" w:pos="3474"/>
              </w:tabs>
              <w:rPr>
                <w:b/>
              </w:rPr>
            </w:pPr>
            <w:r>
              <w:rPr>
                <w:b/>
              </w:rPr>
              <w:t>Unterzeichnung von Baugesuchen</w:t>
            </w:r>
          </w:p>
        </w:tc>
        <w:tc>
          <w:tcPr>
            <w:tcW w:w="907" w:type="dxa"/>
          </w:tcPr>
          <w:p w14:paraId="6CFCA099" w14:textId="77777777" w:rsidR="00E855FA" w:rsidRDefault="00E855FA">
            <w:pPr>
              <w:pStyle w:val="Tabelle"/>
              <w:jc w:val="center"/>
            </w:pPr>
          </w:p>
        </w:tc>
        <w:tc>
          <w:tcPr>
            <w:tcW w:w="907" w:type="dxa"/>
          </w:tcPr>
          <w:p w14:paraId="32A9FC1A" w14:textId="77777777" w:rsidR="00E855FA" w:rsidRDefault="00E855FA">
            <w:pPr>
              <w:pStyle w:val="Tabelle"/>
              <w:jc w:val="center"/>
            </w:pPr>
          </w:p>
        </w:tc>
        <w:tc>
          <w:tcPr>
            <w:tcW w:w="907" w:type="dxa"/>
          </w:tcPr>
          <w:p w14:paraId="3E39484A" w14:textId="77777777" w:rsidR="00E855FA" w:rsidRDefault="00E855FA">
            <w:pPr>
              <w:pStyle w:val="Tabelle"/>
              <w:jc w:val="center"/>
            </w:pPr>
          </w:p>
        </w:tc>
        <w:tc>
          <w:tcPr>
            <w:tcW w:w="918" w:type="dxa"/>
          </w:tcPr>
          <w:p w14:paraId="3697065E" w14:textId="77777777" w:rsidR="00E855FA" w:rsidRDefault="00E855FA">
            <w:pPr>
              <w:pStyle w:val="Tabelle"/>
              <w:jc w:val="center"/>
            </w:pPr>
          </w:p>
        </w:tc>
        <w:tc>
          <w:tcPr>
            <w:tcW w:w="992" w:type="dxa"/>
          </w:tcPr>
          <w:p w14:paraId="5ADC0290" w14:textId="77777777" w:rsidR="00E855FA" w:rsidRDefault="00E855FA">
            <w:pPr>
              <w:pStyle w:val="Tabelle"/>
              <w:jc w:val="center"/>
            </w:pPr>
          </w:p>
        </w:tc>
      </w:tr>
      <w:tr w:rsidR="00E855FA" w14:paraId="0A37DEBD" w14:textId="77777777" w:rsidTr="00525617">
        <w:trPr>
          <w:trHeight w:val="124"/>
        </w:trPr>
        <w:tc>
          <w:tcPr>
            <w:tcW w:w="5103" w:type="dxa"/>
            <w:shd w:val="pct20" w:color="000000" w:fill="FFFFFF"/>
          </w:tcPr>
          <w:p w14:paraId="56E37D89" w14:textId="77777777" w:rsidR="00E855FA" w:rsidRDefault="00E855FA">
            <w:pPr>
              <w:pStyle w:val="Tabelle"/>
              <w:tabs>
                <w:tab w:val="clear" w:pos="1701"/>
                <w:tab w:val="clear" w:pos="1871"/>
                <w:tab w:val="clear" w:pos="4763"/>
                <w:tab w:val="right" w:pos="3474"/>
              </w:tabs>
            </w:pPr>
          </w:p>
        </w:tc>
        <w:tc>
          <w:tcPr>
            <w:tcW w:w="907" w:type="dxa"/>
            <w:shd w:val="pct20" w:color="000000" w:fill="FFFFFF"/>
          </w:tcPr>
          <w:p w14:paraId="7053CF54" w14:textId="77777777" w:rsidR="00E855FA" w:rsidRDefault="00E855FA">
            <w:pPr>
              <w:pStyle w:val="Tabelle"/>
              <w:jc w:val="center"/>
            </w:pPr>
          </w:p>
        </w:tc>
        <w:tc>
          <w:tcPr>
            <w:tcW w:w="907" w:type="dxa"/>
            <w:shd w:val="pct20" w:color="000000" w:fill="FFFFFF"/>
          </w:tcPr>
          <w:p w14:paraId="5A45AC32" w14:textId="77777777" w:rsidR="00E855FA" w:rsidRDefault="00E855FA">
            <w:pPr>
              <w:pStyle w:val="Tabelle"/>
              <w:jc w:val="center"/>
            </w:pPr>
          </w:p>
        </w:tc>
        <w:tc>
          <w:tcPr>
            <w:tcW w:w="907" w:type="dxa"/>
            <w:shd w:val="pct20" w:color="000000" w:fill="FFFFFF"/>
          </w:tcPr>
          <w:p w14:paraId="3DEBDC8C" w14:textId="77777777" w:rsidR="00E855FA" w:rsidRDefault="00E855FA">
            <w:pPr>
              <w:pStyle w:val="Tabelle"/>
              <w:jc w:val="center"/>
            </w:pPr>
          </w:p>
        </w:tc>
        <w:tc>
          <w:tcPr>
            <w:tcW w:w="918" w:type="dxa"/>
            <w:shd w:val="pct20" w:color="000000" w:fill="FFFFFF"/>
          </w:tcPr>
          <w:p w14:paraId="1C78AD4B" w14:textId="77777777" w:rsidR="00E855FA" w:rsidRDefault="00E855FA">
            <w:pPr>
              <w:pStyle w:val="Tabelle"/>
              <w:jc w:val="center"/>
            </w:pPr>
          </w:p>
        </w:tc>
        <w:tc>
          <w:tcPr>
            <w:tcW w:w="992" w:type="dxa"/>
            <w:shd w:val="pct20" w:color="000000" w:fill="FFFFFF"/>
          </w:tcPr>
          <w:p w14:paraId="5C9CE631" w14:textId="77777777" w:rsidR="00E855FA" w:rsidRDefault="00E855FA">
            <w:pPr>
              <w:pStyle w:val="Tabelle"/>
              <w:jc w:val="center"/>
            </w:pPr>
          </w:p>
        </w:tc>
      </w:tr>
      <w:tr w:rsidR="00E855FA" w14:paraId="2C5C2527" w14:textId="77777777" w:rsidTr="00525617">
        <w:tc>
          <w:tcPr>
            <w:tcW w:w="5103" w:type="dxa"/>
          </w:tcPr>
          <w:p w14:paraId="1C68B295" w14:textId="77777777" w:rsidR="00E855FA" w:rsidRDefault="00E855FA">
            <w:pPr>
              <w:pStyle w:val="Tabelle"/>
              <w:tabs>
                <w:tab w:val="clear" w:pos="1701"/>
                <w:tab w:val="clear" w:pos="1871"/>
                <w:tab w:val="clear" w:pos="4763"/>
                <w:tab w:val="right" w:pos="3474"/>
              </w:tabs>
              <w:rPr>
                <w:b/>
              </w:rPr>
            </w:pPr>
            <w:r>
              <w:rPr>
                <w:b/>
              </w:rPr>
              <w:t xml:space="preserve">Ausschreibungen, Zustimmung zu Firmenlisten, </w:t>
            </w:r>
            <w:r>
              <w:rPr>
                <w:b/>
              </w:rPr>
              <w:br/>
              <w:t>Einholen von Angeboten</w:t>
            </w:r>
          </w:p>
        </w:tc>
        <w:tc>
          <w:tcPr>
            <w:tcW w:w="907" w:type="dxa"/>
          </w:tcPr>
          <w:p w14:paraId="7797C143" w14:textId="77777777" w:rsidR="00E855FA" w:rsidRDefault="00E855FA">
            <w:pPr>
              <w:pStyle w:val="Tabelle"/>
              <w:jc w:val="center"/>
            </w:pPr>
          </w:p>
        </w:tc>
        <w:tc>
          <w:tcPr>
            <w:tcW w:w="907" w:type="dxa"/>
          </w:tcPr>
          <w:p w14:paraId="13DE1DF4" w14:textId="77777777" w:rsidR="00E855FA" w:rsidRDefault="00E855FA">
            <w:pPr>
              <w:pStyle w:val="Tabelle"/>
              <w:jc w:val="center"/>
            </w:pPr>
          </w:p>
        </w:tc>
        <w:tc>
          <w:tcPr>
            <w:tcW w:w="907" w:type="dxa"/>
          </w:tcPr>
          <w:p w14:paraId="4B2FE1CC" w14:textId="77777777" w:rsidR="00E855FA" w:rsidRDefault="00E855FA">
            <w:pPr>
              <w:pStyle w:val="Tabelle"/>
              <w:jc w:val="center"/>
            </w:pPr>
          </w:p>
        </w:tc>
        <w:tc>
          <w:tcPr>
            <w:tcW w:w="918" w:type="dxa"/>
          </w:tcPr>
          <w:p w14:paraId="06F625E1" w14:textId="77777777" w:rsidR="00E855FA" w:rsidRDefault="00E855FA">
            <w:pPr>
              <w:pStyle w:val="Tabelle"/>
              <w:jc w:val="center"/>
            </w:pPr>
          </w:p>
        </w:tc>
        <w:tc>
          <w:tcPr>
            <w:tcW w:w="992" w:type="dxa"/>
          </w:tcPr>
          <w:p w14:paraId="2C17E941" w14:textId="77777777" w:rsidR="00E855FA" w:rsidRDefault="00E855FA">
            <w:pPr>
              <w:pStyle w:val="Tabelle"/>
              <w:jc w:val="center"/>
            </w:pPr>
          </w:p>
        </w:tc>
      </w:tr>
      <w:tr w:rsidR="00E855FA" w14:paraId="121DDBD7" w14:textId="77777777" w:rsidTr="00525617">
        <w:tc>
          <w:tcPr>
            <w:tcW w:w="5103" w:type="dxa"/>
            <w:shd w:val="pct20" w:color="000000" w:fill="FFFFFF"/>
          </w:tcPr>
          <w:p w14:paraId="660A0808" w14:textId="77777777" w:rsidR="00E855FA" w:rsidRDefault="00E855FA">
            <w:pPr>
              <w:pStyle w:val="Tabelle"/>
              <w:tabs>
                <w:tab w:val="clear" w:pos="1701"/>
                <w:tab w:val="clear" w:pos="1871"/>
                <w:tab w:val="clear" w:pos="4763"/>
                <w:tab w:val="right" w:pos="3474"/>
              </w:tabs>
            </w:pPr>
          </w:p>
        </w:tc>
        <w:tc>
          <w:tcPr>
            <w:tcW w:w="907" w:type="dxa"/>
            <w:shd w:val="pct20" w:color="000000" w:fill="FFFFFF"/>
          </w:tcPr>
          <w:p w14:paraId="29E303F5" w14:textId="77777777" w:rsidR="00E855FA" w:rsidRDefault="00E855FA">
            <w:pPr>
              <w:pStyle w:val="Tabelle"/>
              <w:jc w:val="center"/>
            </w:pPr>
          </w:p>
        </w:tc>
        <w:tc>
          <w:tcPr>
            <w:tcW w:w="907" w:type="dxa"/>
            <w:shd w:val="pct20" w:color="000000" w:fill="FFFFFF"/>
          </w:tcPr>
          <w:p w14:paraId="051B9ACF" w14:textId="77777777" w:rsidR="00E855FA" w:rsidRDefault="00E855FA">
            <w:pPr>
              <w:pStyle w:val="Tabelle"/>
              <w:jc w:val="center"/>
            </w:pPr>
          </w:p>
        </w:tc>
        <w:tc>
          <w:tcPr>
            <w:tcW w:w="907" w:type="dxa"/>
            <w:shd w:val="pct20" w:color="000000" w:fill="FFFFFF"/>
          </w:tcPr>
          <w:p w14:paraId="0F0EB1A6" w14:textId="77777777" w:rsidR="00E855FA" w:rsidRDefault="00E855FA">
            <w:pPr>
              <w:pStyle w:val="Tabelle"/>
              <w:jc w:val="center"/>
            </w:pPr>
          </w:p>
        </w:tc>
        <w:tc>
          <w:tcPr>
            <w:tcW w:w="918" w:type="dxa"/>
            <w:shd w:val="pct20" w:color="000000" w:fill="FFFFFF"/>
          </w:tcPr>
          <w:p w14:paraId="41C1D47E" w14:textId="77777777" w:rsidR="00E855FA" w:rsidRDefault="00E855FA">
            <w:pPr>
              <w:pStyle w:val="Tabelle"/>
              <w:jc w:val="center"/>
            </w:pPr>
          </w:p>
        </w:tc>
        <w:tc>
          <w:tcPr>
            <w:tcW w:w="992" w:type="dxa"/>
            <w:shd w:val="pct20" w:color="000000" w:fill="FFFFFF"/>
          </w:tcPr>
          <w:p w14:paraId="4401BF8A" w14:textId="77777777" w:rsidR="00E855FA" w:rsidRDefault="00E855FA">
            <w:pPr>
              <w:pStyle w:val="Tabelle"/>
              <w:jc w:val="center"/>
            </w:pPr>
          </w:p>
        </w:tc>
      </w:tr>
      <w:tr w:rsidR="00E855FA" w14:paraId="2F614FDD" w14:textId="77777777" w:rsidTr="00525617">
        <w:tc>
          <w:tcPr>
            <w:tcW w:w="5103" w:type="dxa"/>
          </w:tcPr>
          <w:p w14:paraId="1E877E41" w14:textId="77777777" w:rsidR="00E855FA" w:rsidRDefault="00E855FA">
            <w:pPr>
              <w:pStyle w:val="Tabelle"/>
              <w:tabs>
                <w:tab w:val="clear" w:pos="1701"/>
                <w:tab w:val="clear" w:pos="1871"/>
                <w:tab w:val="clear" w:pos="4763"/>
                <w:tab w:val="right" w:pos="3474"/>
              </w:tabs>
              <w:rPr>
                <w:b/>
              </w:rPr>
            </w:pPr>
            <w:r>
              <w:rPr>
                <w:b/>
              </w:rPr>
              <w:t xml:space="preserve">Genehmigung von Budgets </w:t>
            </w:r>
          </w:p>
          <w:p w14:paraId="4F035177" w14:textId="77777777" w:rsidR="00E855FA" w:rsidRDefault="00E855FA">
            <w:pPr>
              <w:pStyle w:val="Tabelle"/>
              <w:tabs>
                <w:tab w:val="clear" w:pos="1701"/>
                <w:tab w:val="clear" w:pos="1871"/>
                <w:tab w:val="clear" w:pos="4763"/>
                <w:tab w:val="right" w:pos="3474"/>
              </w:tabs>
              <w:rPr>
                <w:b/>
              </w:rPr>
            </w:pPr>
            <w:r>
              <w:rPr>
                <w:b/>
              </w:rPr>
              <w:t>Budgeterhöhungen für eine Gesamtbaumaßnahme</w:t>
            </w:r>
          </w:p>
        </w:tc>
        <w:tc>
          <w:tcPr>
            <w:tcW w:w="907" w:type="dxa"/>
          </w:tcPr>
          <w:p w14:paraId="4D591181" w14:textId="77777777" w:rsidR="00E855FA" w:rsidRDefault="00E855FA">
            <w:pPr>
              <w:pStyle w:val="Tabelle"/>
              <w:jc w:val="center"/>
            </w:pPr>
          </w:p>
        </w:tc>
        <w:tc>
          <w:tcPr>
            <w:tcW w:w="907" w:type="dxa"/>
          </w:tcPr>
          <w:p w14:paraId="6D016272" w14:textId="77777777" w:rsidR="00E855FA" w:rsidRDefault="00E855FA">
            <w:pPr>
              <w:pStyle w:val="Tabelle"/>
              <w:jc w:val="center"/>
            </w:pPr>
          </w:p>
        </w:tc>
        <w:tc>
          <w:tcPr>
            <w:tcW w:w="907" w:type="dxa"/>
          </w:tcPr>
          <w:p w14:paraId="692A8E6C" w14:textId="77777777" w:rsidR="00E855FA" w:rsidRDefault="00E855FA">
            <w:pPr>
              <w:pStyle w:val="Tabelle"/>
              <w:jc w:val="center"/>
            </w:pPr>
          </w:p>
        </w:tc>
        <w:tc>
          <w:tcPr>
            <w:tcW w:w="918" w:type="dxa"/>
          </w:tcPr>
          <w:p w14:paraId="20A6AB5D" w14:textId="77777777" w:rsidR="00E855FA" w:rsidRDefault="00E855FA">
            <w:pPr>
              <w:pStyle w:val="Tabelle"/>
              <w:jc w:val="center"/>
            </w:pPr>
          </w:p>
        </w:tc>
        <w:tc>
          <w:tcPr>
            <w:tcW w:w="992" w:type="dxa"/>
          </w:tcPr>
          <w:p w14:paraId="3508D85E" w14:textId="77777777" w:rsidR="00E855FA" w:rsidRDefault="00E855FA">
            <w:pPr>
              <w:pStyle w:val="Tabelle"/>
              <w:jc w:val="center"/>
            </w:pPr>
          </w:p>
        </w:tc>
      </w:tr>
      <w:tr w:rsidR="00E855FA" w14:paraId="0F2697A4" w14:textId="77777777" w:rsidTr="00525617">
        <w:tc>
          <w:tcPr>
            <w:tcW w:w="5103" w:type="dxa"/>
          </w:tcPr>
          <w:p w14:paraId="4341903A" w14:textId="77777777" w:rsidR="00E855FA" w:rsidRDefault="005821E5">
            <w:pPr>
              <w:pStyle w:val="Tabelle"/>
              <w:tabs>
                <w:tab w:val="clear" w:pos="1701"/>
                <w:tab w:val="clear" w:pos="1871"/>
                <w:tab w:val="clear" w:pos="4763"/>
                <w:tab w:val="right" w:pos="3474"/>
              </w:tabs>
            </w:pPr>
            <w:r>
              <w:tab/>
              <w:t xml:space="preserve">bis </w:t>
            </w:r>
            <w:r>
              <w:tab/>
              <w:t>10</w:t>
            </w:r>
            <w:r w:rsidR="00E855FA">
              <w:t>.000 €</w:t>
            </w:r>
          </w:p>
          <w:p w14:paraId="4546CABA" w14:textId="77777777" w:rsidR="00E855FA" w:rsidRDefault="005821E5">
            <w:pPr>
              <w:pStyle w:val="Tabelle"/>
              <w:tabs>
                <w:tab w:val="clear" w:pos="1701"/>
                <w:tab w:val="clear" w:pos="1871"/>
                <w:tab w:val="clear" w:pos="4763"/>
                <w:tab w:val="right" w:pos="3474"/>
              </w:tabs>
            </w:pPr>
            <w:r>
              <w:tab/>
              <w:t xml:space="preserve">über </w:t>
            </w:r>
            <w:r>
              <w:tab/>
              <w:t>15</w:t>
            </w:r>
            <w:r w:rsidR="00E855FA">
              <w:t>.000 €</w:t>
            </w:r>
          </w:p>
        </w:tc>
        <w:tc>
          <w:tcPr>
            <w:tcW w:w="907" w:type="dxa"/>
          </w:tcPr>
          <w:p w14:paraId="47DC0A40" w14:textId="77777777" w:rsidR="00E855FA" w:rsidRDefault="00E855FA">
            <w:pPr>
              <w:pStyle w:val="Tabelle"/>
              <w:jc w:val="center"/>
            </w:pPr>
          </w:p>
        </w:tc>
        <w:tc>
          <w:tcPr>
            <w:tcW w:w="907" w:type="dxa"/>
          </w:tcPr>
          <w:p w14:paraId="5F821A6E" w14:textId="77777777" w:rsidR="00E855FA" w:rsidRDefault="00E855FA">
            <w:pPr>
              <w:pStyle w:val="Tabelle"/>
              <w:jc w:val="center"/>
            </w:pPr>
          </w:p>
        </w:tc>
        <w:tc>
          <w:tcPr>
            <w:tcW w:w="907" w:type="dxa"/>
          </w:tcPr>
          <w:p w14:paraId="1D3CDE5B" w14:textId="77777777" w:rsidR="00E855FA" w:rsidRDefault="00E855FA">
            <w:pPr>
              <w:pStyle w:val="Tabelle"/>
              <w:jc w:val="center"/>
            </w:pPr>
          </w:p>
        </w:tc>
        <w:tc>
          <w:tcPr>
            <w:tcW w:w="918" w:type="dxa"/>
          </w:tcPr>
          <w:p w14:paraId="432B0E38" w14:textId="77777777" w:rsidR="00E855FA" w:rsidRDefault="00E855FA">
            <w:pPr>
              <w:pStyle w:val="Tabelle"/>
              <w:jc w:val="center"/>
            </w:pPr>
          </w:p>
        </w:tc>
        <w:tc>
          <w:tcPr>
            <w:tcW w:w="992" w:type="dxa"/>
          </w:tcPr>
          <w:p w14:paraId="65CD46EB" w14:textId="77777777" w:rsidR="00E855FA" w:rsidRDefault="00E855FA">
            <w:pPr>
              <w:pStyle w:val="Tabelle"/>
              <w:jc w:val="center"/>
            </w:pPr>
          </w:p>
        </w:tc>
      </w:tr>
      <w:tr w:rsidR="00E855FA" w14:paraId="50507BC4" w14:textId="77777777" w:rsidTr="00525617">
        <w:tc>
          <w:tcPr>
            <w:tcW w:w="5103" w:type="dxa"/>
            <w:shd w:val="pct20" w:color="000000" w:fill="FFFFFF"/>
          </w:tcPr>
          <w:p w14:paraId="56942221" w14:textId="77777777" w:rsidR="00E855FA" w:rsidRDefault="00E855FA">
            <w:pPr>
              <w:pStyle w:val="Tabelle"/>
              <w:tabs>
                <w:tab w:val="clear" w:pos="1701"/>
                <w:tab w:val="clear" w:pos="1871"/>
                <w:tab w:val="clear" w:pos="4763"/>
                <w:tab w:val="right" w:pos="3474"/>
              </w:tabs>
            </w:pPr>
          </w:p>
        </w:tc>
        <w:tc>
          <w:tcPr>
            <w:tcW w:w="907" w:type="dxa"/>
            <w:shd w:val="pct20" w:color="000000" w:fill="FFFFFF"/>
          </w:tcPr>
          <w:p w14:paraId="0BEE24A2" w14:textId="77777777" w:rsidR="00E855FA" w:rsidRDefault="00E855FA">
            <w:pPr>
              <w:pStyle w:val="Tabelle"/>
              <w:jc w:val="center"/>
            </w:pPr>
          </w:p>
        </w:tc>
        <w:tc>
          <w:tcPr>
            <w:tcW w:w="907" w:type="dxa"/>
            <w:shd w:val="pct20" w:color="000000" w:fill="FFFFFF"/>
          </w:tcPr>
          <w:p w14:paraId="4A0009C2" w14:textId="77777777" w:rsidR="00E855FA" w:rsidRDefault="00E855FA">
            <w:pPr>
              <w:pStyle w:val="Tabelle"/>
              <w:jc w:val="center"/>
            </w:pPr>
          </w:p>
        </w:tc>
        <w:tc>
          <w:tcPr>
            <w:tcW w:w="907" w:type="dxa"/>
            <w:shd w:val="pct20" w:color="000000" w:fill="FFFFFF"/>
          </w:tcPr>
          <w:p w14:paraId="7E832613" w14:textId="77777777" w:rsidR="00E855FA" w:rsidRDefault="00E855FA">
            <w:pPr>
              <w:pStyle w:val="Tabelle"/>
              <w:jc w:val="center"/>
            </w:pPr>
          </w:p>
        </w:tc>
        <w:tc>
          <w:tcPr>
            <w:tcW w:w="918" w:type="dxa"/>
            <w:shd w:val="pct20" w:color="000000" w:fill="FFFFFF"/>
          </w:tcPr>
          <w:p w14:paraId="08589580" w14:textId="77777777" w:rsidR="00E855FA" w:rsidRDefault="00E855FA">
            <w:pPr>
              <w:pStyle w:val="Tabelle"/>
              <w:jc w:val="center"/>
            </w:pPr>
          </w:p>
        </w:tc>
        <w:tc>
          <w:tcPr>
            <w:tcW w:w="992" w:type="dxa"/>
            <w:shd w:val="pct20" w:color="000000" w:fill="FFFFFF"/>
          </w:tcPr>
          <w:p w14:paraId="496C06DF" w14:textId="77777777" w:rsidR="00E855FA" w:rsidRDefault="00E855FA">
            <w:pPr>
              <w:pStyle w:val="Tabelle"/>
              <w:jc w:val="center"/>
            </w:pPr>
          </w:p>
        </w:tc>
      </w:tr>
      <w:tr w:rsidR="00E855FA" w14:paraId="02909158" w14:textId="77777777" w:rsidTr="00525617">
        <w:tc>
          <w:tcPr>
            <w:tcW w:w="5103" w:type="dxa"/>
          </w:tcPr>
          <w:p w14:paraId="3AA8F77A" w14:textId="77777777" w:rsidR="00E855FA" w:rsidRDefault="00E855FA">
            <w:pPr>
              <w:pStyle w:val="Tabelle"/>
              <w:tabs>
                <w:tab w:val="clear" w:pos="1701"/>
                <w:tab w:val="clear" w:pos="1871"/>
                <w:tab w:val="clear" w:pos="4763"/>
                <w:tab w:val="right" w:pos="3474"/>
              </w:tabs>
            </w:pPr>
            <w:r>
              <w:rPr>
                <w:b/>
              </w:rPr>
              <w:t>Jeweils im Rahmen genehmigter Budgets</w:t>
            </w:r>
            <w:r>
              <w:t xml:space="preserve"> und in der Regel nach Prüfung bzw. Freigabe durch externe Projektsteuerungs-, Controlling-, Architektur- oder Ingenieurbüros:</w:t>
            </w:r>
          </w:p>
        </w:tc>
        <w:tc>
          <w:tcPr>
            <w:tcW w:w="907" w:type="dxa"/>
          </w:tcPr>
          <w:p w14:paraId="7F2AE506" w14:textId="77777777" w:rsidR="00E855FA" w:rsidRDefault="00E855FA">
            <w:pPr>
              <w:pStyle w:val="Tabelle"/>
              <w:jc w:val="center"/>
            </w:pPr>
          </w:p>
        </w:tc>
        <w:tc>
          <w:tcPr>
            <w:tcW w:w="907" w:type="dxa"/>
          </w:tcPr>
          <w:p w14:paraId="2BA111FD" w14:textId="77777777" w:rsidR="00E855FA" w:rsidRDefault="00E855FA">
            <w:pPr>
              <w:pStyle w:val="Tabelle"/>
              <w:jc w:val="center"/>
            </w:pPr>
          </w:p>
        </w:tc>
        <w:tc>
          <w:tcPr>
            <w:tcW w:w="907" w:type="dxa"/>
          </w:tcPr>
          <w:p w14:paraId="5D3BE5A9" w14:textId="77777777" w:rsidR="00E855FA" w:rsidRDefault="00E855FA">
            <w:pPr>
              <w:pStyle w:val="Tabelle"/>
              <w:jc w:val="center"/>
            </w:pPr>
          </w:p>
        </w:tc>
        <w:tc>
          <w:tcPr>
            <w:tcW w:w="918" w:type="dxa"/>
          </w:tcPr>
          <w:p w14:paraId="5DE65A90" w14:textId="77777777" w:rsidR="00E855FA" w:rsidRDefault="00E855FA">
            <w:pPr>
              <w:pStyle w:val="Tabelle"/>
              <w:jc w:val="center"/>
            </w:pPr>
          </w:p>
        </w:tc>
        <w:tc>
          <w:tcPr>
            <w:tcW w:w="992" w:type="dxa"/>
          </w:tcPr>
          <w:p w14:paraId="692D1BCE" w14:textId="77777777" w:rsidR="00E855FA" w:rsidRDefault="00E855FA">
            <w:pPr>
              <w:pStyle w:val="Tabelle"/>
              <w:jc w:val="center"/>
            </w:pPr>
          </w:p>
        </w:tc>
      </w:tr>
      <w:tr w:rsidR="00E855FA" w14:paraId="0192F255" w14:textId="77777777" w:rsidTr="00525617">
        <w:tc>
          <w:tcPr>
            <w:tcW w:w="5103" w:type="dxa"/>
          </w:tcPr>
          <w:p w14:paraId="7F2498D5" w14:textId="77777777" w:rsidR="00E855FA" w:rsidRDefault="00E855FA">
            <w:pPr>
              <w:pStyle w:val="Tabelle"/>
              <w:tabs>
                <w:tab w:val="clear" w:pos="1701"/>
                <w:tab w:val="clear" w:pos="1871"/>
                <w:tab w:val="clear" w:pos="4763"/>
                <w:tab w:val="right" w:pos="3474"/>
              </w:tabs>
            </w:pPr>
            <w:r>
              <w:t>1.</w:t>
            </w:r>
            <w:r>
              <w:tab/>
              <w:t xml:space="preserve">Zustimmung zu Vergabevorschlägen, Vergaben, </w:t>
            </w:r>
            <w:r>
              <w:br/>
            </w:r>
            <w:r>
              <w:tab/>
              <w:t xml:space="preserve">Unterzeichnung von Aufträgen </w:t>
            </w:r>
            <w:r>
              <w:br/>
            </w:r>
            <w:r>
              <w:tab/>
              <w:t>bzw. Werkverträgen bei Volumen</w:t>
            </w:r>
          </w:p>
        </w:tc>
        <w:tc>
          <w:tcPr>
            <w:tcW w:w="907" w:type="dxa"/>
          </w:tcPr>
          <w:p w14:paraId="3A08289B" w14:textId="77777777" w:rsidR="00E855FA" w:rsidRDefault="00E855FA">
            <w:pPr>
              <w:pStyle w:val="Tabelle"/>
              <w:jc w:val="center"/>
            </w:pPr>
          </w:p>
        </w:tc>
        <w:tc>
          <w:tcPr>
            <w:tcW w:w="907" w:type="dxa"/>
          </w:tcPr>
          <w:p w14:paraId="660A8B36" w14:textId="77777777" w:rsidR="00E855FA" w:rsidRDefault="00E855FA">
            <w:pPr>
              <w:pStyle w:val="Tabelle"/>
              <w:jc w:val="center"/>
            </w:pPr>
          </w:p>
        </w:tc>
        <w:tc>
          <w:tcPr>
            <w:tcW w:w="907" w:type="dxa"/>
          </w:tcPr>
          <w:p w14:paraId="3D8B8CB4" w14:textId="77777777" w:rsidR="00E855FA" w:rsidRDefault="00E855FA">
            <w:pPr>
              <w:pStyle w:val="Tabelle"/>
              <w:jc w:val="center"/>
            </w:pPr>
          </w:p>
        </w:tc>
        <w:tc>
          <w:tcPr>
            <w:tcW w:w="918" w:type="dxa"/>
          </w:tcPr>
          <w:p w14:paraId="2DA1B96C" w14:textId="77777777" w:rsidR="00E855FA" w:rsidRDefault="00E855FA">
            <w:pPr>
              <w:pStyle w:val="Tabelle"/>
              <w:jc w:val="center"/>
            </w:pPr>
          </w:p>
        </w:tc>
        <w:tc>
          <w:tcPr>
            <w:tcW w:w="992" w:type="dxa"/>
          </w:tcPr>
          <w:p w14:paraId="30532A85" w14:textId="77777777" w:rsidR="00E855FA" w:rsidRDefault="00E855FA">
            <w:pPr>
              <w:pStyle w:val="Tabelle"/>
              <w:jc w:val="center"/>
            </w:pPr>
          </w:p>
        </w:tc>
      </w:tr>
      <w:tr w:rsidR="00E855FA" w14:paraId="4D57ABA2" w14:textId="77777777" w:rsidTr="00525617">
        <w:tc>
          <w:tcPr>
            <w:tcW w:w="5103" w:type="dxa"/>
          </w:tcPr>
          <w:p w14:paraId="7D675B53" w14:textId="77777777" w:rsidR="00E855FA" w:rsidRDefault="00E855FA">
            <w:pPr>
              <w:pStyle w:val="Tabelle"/>
              <w:tabs>
                <w:tab w:val="clear" w:pos="1701"/>
                <w:tab w:val="clear" w:pos="1871"/>
                <w:tab w:val="clear" w:pos="4763"/>
                <w:tab w:val="right" w:pos="3474"/>
              </w:tabs>
            </w:pPr>
            <w:r>
              <w:tab/>
              <w:t xml:space="preserve">bis </w:t>
            </w:r>
            <w:r>
              <w:tab/>
              <w:t xml:space="preserve">500.000 € </w:t>
            </w:r>
          </w:p>
          <w:p w14:paraId="0127850E" w14:textId="77777777" w:rsidR="00E855FA" w:rsidRDefault="00E855FA">
            <w:pPr>
              <w:pStyle w:val="Tabelle"/>
              <w:tabs>
                <w:tab w:val="clear" w:pos="1701"/>
                <w:tab w:val="clear" w:pos="1871"/>
                <w:tab w:val="clear" w:pos="4763"/>
                <w:tab w:val="right" w:pos="3474"/>
              </w:tabs>
            </w:pPr>
            <w:r>
              <w:tab/>
              <w:t xml:space="preserve">bis </w:t>
            </w:r>
            <w:r>
              <w:tab/>
              <w:t xml:space="preserve">10.000.000 € </w:t>
            </w:r>
          </w:p>
          <w:p w14:paraId="64281983" w14:textId="77777777" w:rsidR="00E855FA" w:rsidRDefault="00E855FA">
            <w:pPr>
              <w:pStyle w:val="Tabelle"/>
              <w:tabs>
                <w:tab w:val="clear" w:pos="1701"/>
                <w:tab w:val="clear" w:pos="1871"/>
                <w:tab w:val="clear" w:pos="4763"/>
                <w:tab w:val="right" w:pos="3474"/>
              </w:tabs>
            </w:pPr>
            <w:r>
              <w:tab/>
              <w:t xml:space="preserve">über </w:t>
            </w:r>
            <w:r>
              <w:tab/>
              <w:t>10.000.000 €</w:t>
            </w:r>
          </w:p>
        </w:tc>
        <w:tc>
          <w:tcPr>
            <w:tcW w:w="907" w:type="dxa"/>
          </w:tcPr>
          <w:p w14:paraId="7167B5F7" w14:textId="77777777" w:rsidR="00E855FA" w:rsidRDefault="00E855FA">
            <w:pPr>
              <w:pStyle w:val="Tabelle"/>
              <w:jc w:val="center"/>
            </w:pPr>
          </w:p>
        </w:tc>
        <w:tc>
          <w:tcPr>
            <w:tcW w:w="907" w:type="dxa"/>
          </w:tcPr>
          <w:p w14:paraId="32BCC84E" w14:textId="77777777" w:rsidR="00E855FA" w:rsidRDefault="00E855FA">
            <w:pPr>
              <w:pStyle w:val="Tabelle"/>
              <w:jc w:val="center"/>
            </w:pPr>
          </w:p>
          <w:p w14:paraId="0F5D30AE" w14:textId="77777777" w:rsidR="00E855FA" w:rsidRDefault="00E855FA">
            <w:pPr>
              <w:pStyle w:val="Tabelle"/>
              <w:jc w:val="center"/>
            </w:pPr>
          </w:p>
          <w:p w14:paraId="05213C9C" w14:textId="77777777" w:rsidR="00E855FA" w:rsidRDefault="00E855FA">
            <w:pPr>
              <w:pStyle w:val="Tabelle"/>
              <w:jc w:val="center"/>
              <w:rPr>
                <w:lang w:val="it-IT"/>
              </w:rPr>
            </w:pPr>
            <w:r>
              <w:rPr>
                <w:lang w:val="it-IT"/>
              </w:rPr>
              <w:t>Info</w:t>
            </w:r>
          </w:p>
        </w:tc>
        <w:tc>
          <w:tcPr>
            <w:tcW w:w="907" w:type="dxa"/>
          </w:tcPr>
          <w:p w14:paraId="671EE564" w14:textId="77777777" w:rsidR="00E855FA" w:rsidRDefault="00E855FA">
            <w:pPr>
              <w:pStyle w:val="Tabelle"/>
              <w:jc w:val="center"/>
              <w:rPr>
                <w:lang w:val="it-IT"/>
              </w:rPr>
            </w:pPr>
          </w:p>
          <w:p w14:paraId="27531A6D" w14:textId="77777777" w:rsidR="00E855FA" w:rsidRDefault="00E855FA">
            <w:pPr>
              <w:pStyle w:val="Tabelle"/>
              <w:jc w:val="center"/>
              <w:rPr>
                <w:lang w:val="it-IT"/>
              </w:rPr>
            </w:pPr>
          </w:p>
          <w:p w14:paraId="3A298D0F" w14:textId="77777777" w:rsidR="00E855FA" w:rsidRDefault="00E855FA">
            <w:pPr>
              <w:pStyle w:val="Tabelle"/>
              <w:jc w:val="center"/>
              <w:rPr>
                <w:lang w:val="it-IT"/>
              </w:rPr>
            </w:pPr>
            <w:r>
              <w:rPr>
                <w:lang w:val="it-IT"/>
              </w:rPr>
              <w:t>Paraffe</w:t>
            </w:r>
          </w:p>
        </w:tc>
        <w:tc>
          <w:tcPr>
            <w:tcW w:w="918" w:type="dxa"/>
          </w:tcPr>
          <w:p w14:paraId="67153A89" w14:textId="77777777" w:rsidR="00E855FA" w:rsidRDefault="00E855FA">
            <w:pPr>
              <w:pStyle w:val="Tabelle"/>
              <w:jc w:val="center"/>
              <w:rPr>
                <w:lang w:val="it-IT"/>
              </w:rPr>
            </w:pPr>
          </w:p>
        </w:tc>
        <w:tc>
          <w:tcPr>
            <w:tcW w:w="992" w:type="dxa"/>
          </w:tcPr>
          <w:p w14:paraId="34737B8D" w14:textId="77777777" w:rsidR="00E855FA" w:rsidRDefault="00E855FA">
            <w:pPr>
              <w:pStyle w:val="Tabelle"/>
              <w:jc w:val="center"/>
              <w:rPr>
                <w:lang w:val="it-IT"/>
              </w:rPr>
            </w:pPr>
          </w:p>
        </w:tc>
      </w:tr>
      <w:tr w:rsidR="00E855FA" w14:paraId="7FE54040" w14:textId="77777777" w:rsidTr="00525617">
        <w:tc>
          <w:tcPr>
            <w:tcW w:w="5103" w:type="dxa"/>
          </w:tcPr>
          <w:p w14:paraId="376056C5" w14:textId="6E544901" w:rsidR="00E855FA" w:rsidRDefault="00E855FA">
            <w:pPr>
              <w:pStyle w:val="Tabelle"/>
              <w:tabs>
                <w:tab w:val="clear" w:pos="1701"/>
                <w:tab w:val="clear" w:pos="1871"/>
                <w:tab w:val="clear" w:pos="4763"/>
                <w:tab w:val="right" w:pos="3474"/>
              </w:tabs>
            </w:pPr>
            <w:r>
              <w:t>2.</w:t>
            </w:r>
            <w:r>
              <w:tab/>
              <w:t>Zustimmung zu Rechnungsprüfung / Rechnungs</w:t>
            </w:r>
            <w:r w:rsidR="00B52B0C">
              <w:t>-</w:t>
            </w:r>
            <w:r>
              <w:tab/>
              <w:t>anerkennung und Zahlungsfreigabe bei Volumen:</w:t>
            </w:r>
          </w:p>
        </w:tc>
        <w:tc>
          <w:tcPr>
            <w:tcW w:w="907" w:type="dxa"/>
          </w:tcPr>
          <w:p w14:paraId="05ED9325" w14:textId="77777777" w:rsidR="00E855FA" w:rsidRDefault="00E855FA">
            <w:pPr>
              <w:pStyle w:val="Tabelle"/>
              <w:jc w:val="center"/>
            </w:pPr>
          </w:p>
        </w:tc>
        <w:tc>
          <w:tcPr>
            <w:tcW w:w="907" w:type="dxa"/>
          </w:tcPr>
          <w:p w14:paraId="0632A22D" w14:textId="77777777" w:rsidR="00E855FA" w:rsidRDefault="00E855FA">
            <w:pPr>
              <w:pStyle w:val="Tabelle"/>
              <w:jc w:val="center"/>
            </w:pPr>
          </w:p>
        </w:tc>
        <w:tc>
          <w:tcPr>
            <w:tcW w:w="907" w:type="dxa"/>
          </w:tcPr>
          <w:p w14:paraId="5F844082" w14:textId="77777777" w:rsidR="00E855FA" w:rsidRDefault="00E855FA">
            <w:pPr>
              <w:pStyle w:val="Tabelle"/>
              <w:jc w:val="center"/>
            </w:pPr>
          </w:p>
        </w:tc>
        <w:tc>
          <w:tcPr>
            <w:tcW w:w="918" w:type="dxa"/>
          </w:tcPr>
          <w:p w14:paraId="6FABA2DA" w14:textId="77777777" w:rsidR="00E855FA" w:rsidRDefault="00E855FA">
            <w:pPr>
              <w:pStyle w:val="Tabelle"/>
              <w:jc w:val="center"/>
            </w:pPr>
          </w:p>
        </w:tc>
        <w:tc>
          <w:tcPr>
            <w:tcW w:w="992" w:type="dxa"/>
          </w:tcPr>
          <w:p w14:paraId="2693670E" w14:textId="77777777" w:rsidR="00E855FA" w:rsidRDefault="00E855FA">
            <w:pPr>
              <w:pStyle w:val="Tabelle"/>
              <w:jc w:val="center"/>
            </w:pPr>
          </w:p>
        </w:tc>
      </w:tr>
      <w:tr w:rsidR="00E855FA" w14:paraId="612190DA" w14:textId="77777777" w:rsidTr="00525617">
        <w:tc>
          <w:tcPr>
            <w:tcW w:w="5103" w:type="dxa"/>
          </w:tcPr>
          <w:p w14:paraId="18DED1FC" w14:textId="77777777" w:rsidR="00E855FA" w:rsidRDefault="00E855FA">
            <w:pPr>
              <w:pStyle w:val="Tabelle"/>
              <w:tabs>
                <w:tab w:val="clear" w:pos="1701"/>
                <w:tab w:val="clear" w:pos="1871"/>
                <w:tab w:val="clear" w:pos="4763"/>
                <w:tab w:val="right" w:pos="3474"/>
              </w:tabs>
            </w:pPr>
            <w:r>
              <w:tab/>
              <w:t xml:space="preserve">bis </w:t>
            </w:r>
            <w:r>
              <w:tab/>
              <w:t>250.000 €</w:t>
            </w:r>
          </w:p>
          <w:p w14:paraId="372A7867" w14:textId="77777777" w:rsidR="00E855FA" w:rsidRDefault="00E855FA">
            <w:pPr>
              <w:pStyle w:val="Tabelle"/>
              <w:tabs>
                <w:tab w:val="clear" w:pos="1701"/>
                <w:tab w:val="clear" w:pos="1871"/>
                <w:tab w:val="clear" w:pos="4763"/>
                <w:tab w:val="right" w:pos="3474"/>
              </w:tabs>
            </w:pPr>
            <w:r>
              <w:tab/>
              <w:t xml:space="preserve">bis </w:t>
            </w:r>
            <w:r>
              <w:tab/>
              <w:t>2.500.000 €</w:t>
            </w:r>
          </w:p>
          <w:p w14:paraId="7359E8AC" w14:textId="77777777" w:rsidR="00E855FA" w:rsidRDefault="00E855FA">
            <w:pPr>
              <w:pStyle w:val="Tabelle"/>
              <w:tabs>
                <w:tab w:val="clear" w:pos="1701"/>
                <w:tab w:val="clear" w:pos="1871"/>
                <w:tab w:val="clear" w:pos="4763"/>
                <w:tab w:val="right" w:pos="3474"/>
              </w:tabs>
            </w:pPr>
            <w:r>
              <w:tab/>
              <w:t xml:space="preserve">über </w:t>
            </w:r>
            <w:r>
              <w:tab/>
              <w:t>2.500.000 €</w:t>
            </w:r>
          </w:p>
        </w:tc>
        <w:tc>
          <w:tcPr>
            <w:tcW w:w="907" w:type="dxa"/>
          </w:tcPr>
          <w:p w14:paraId="5B4005D8" w14:textId="77777777" w:rsidR="00E855FA" w:rsidRDefault="00E855FA">
            <w:pPr>
              <w:pStyle w:val="Tabelle"/>
              <w:jc w:val="center"/>
            </w:pPr>
          </w:p>
        </w:tc>
        <w:tc>
          <w:tcPr>
            <w:tcW w:w="907" w:type="dxa"/>
          </w:tcPr>
          <w:p w14:paraId="422D16F2" w14:textId="77777777" w:rsidR="00E855FA" w:rsidRDefault="00E855FA">
            <w:pPr>
              <w:pStyle w:val="Tabelle"/>
              <w:jc w:val="center"/>
            </w:pPr>
          </w:p>
        </w:tc>
        <w:tc>
          <w:tcPr>
            <w:tcW w:w="907" w:type="dxa"/>
          </w:tcPr>
          <w:p w14:paraId="56D615D5" w14:textId="77777777" w:rsidR="00E855FA" w:rsidRDefault="00E855FA">
            <w:pPr>
              <w:pStyle w:val="Tabelle"/>
              <w:jc w:val="center"/>
            </w:pPr>
          </w:p>
          <w:p w14:paraId="6E107700" w14:textId="77777777" w:rsidR="00E855FA" w:rsidRDefault="00E855FA">
            <w:pPr>
              <w:pStyle w:val="Tabelle"/>
              <w:jc w:val="center"/>
            </w:pPr>
          </w:p>
          <w:p w14:paraId="08B2270D" w14:textId="77777777" w:rsidR="00E855FA" w:rsidRDefault="00E855FA">
            <w:pPr>
              <w:pStyle w:val="Tabelle"/>
              <w:jc w:val="center"/>
            </w:pPr>
          </w:p>
        </w:tc>
        <w:tc>
          <w:tcPr>
            <w:tcW w:w="918" w:type="dxa"/>
          </w:tcPr>
          <w:p w14:paraId="3590CE80" w14:textId="77777777" w:rsidR="00E855FA" w:rsidRDefault="00E855FA">
            <w:pPr>
              <w:pStyle w:val="Tabelle"/>
              <w:jc w:val="center"/>
            </w:pPr>
          </w:p>
        </w:tc>
        <w:tc>
          <w:tcPr>
            <w:tcW w:w="992" w:type="dxa"/>
          </w:tcPr>
          <w:p w14:paraId="0F4EE7DC" w14:textId="77777777" w:rsidR="00E855FA" w:rsidRDefault="00E855FA">
            <w:pPr>
              <w:pStyle w:val="Tabelle"/>
              <w:jc w:val="center"/>
            </w:pPr>
          </w:p>
        </w:tc>
      </w:tr>
      <w:tr w:rsidR="00E855FA" w14:paraId="05930178" w14:textId="77777777" w:rsidTr="00525617">
        <w:tc>
          <w:tcPr>
            <w:tcW w:w="5103" w:type="dxa"/>
          </w:tcPr>
          <w:p w14:paraId="5FBEE24C" w14:textId="77777777" w:rsidR="00E855FA" w:rsidRDefault="00E855FA">
            <w:pPr>
              <w:pStyle w:val="Tabelle"/>
              <w:tabs>
                <w:tab w:val="clear" w:pos="1701"/>
                <w:tab w:val="clear" w:pos="1871"/>
                <w:tab w:val="clear" w:pos="4763"/>
                <w:tab w:val="right" w:pos="3474"/>
              </w:tabs>
            </w:pPr>
            <w:r>
              <w:t>3.</w:t>
            </w:r>
            <w:r>
              <w:tab/>
              <w:t>Nachträge</w:t>
            </w:r>
          </w:p>
        </w:tc>
        <w:tc>
          <w:tcPr>
            <w:tcW w:w="907" w:type="dxa"/>
          </w:tcPr>
          <w:p w14:paraId="38FC550D" w14:textId="77777777" w:rsidR="00E855FA" w:rsidRDefault="00E855FA">
            <w:pPr>
              <w:pStyle w:val="Tabelle"/>
              <w:jc w:val="center"/>
            </w:pPr>
          </w:p>
        </w:tc>
        <w:tc>
          <w:tcPr>
            <w:tcW w:w="907" w:type="dxa"/>
          </w:tcPr>
          <w:p w14:paraId="4357AC96" w14:textId="77777777" w:rsidR="00E855FA" w:rsidRDefault="00E855FA">
            <w:pPr>
              <w:pStyle w:val="Tabelle"/>
              <w:jc w:val="center"/>
            </w:pPr>
          </w:p>
        </w:tc>
        <w:tc>
          <w:tcPr>
            <w:tcW w:w="907" w:type="dxa"/>
          </w:tcPr>
          <w:p w14:paraId="1584E0AB" w14:textId="77777777" w:rsidR="00E855FA" w:rsidRDefault="00E855FA">
            <w:pPr>
              <w:pStyle w:val="Tabelle"/>
              <w:jc w:val="center"/>
            </w:pPr>
          </w:p>
        </w:tc>
        <w:tc>
          <w:tcPr>
            <w:tcW w:w="918" w:type="dxa"/>
          </w:tcPr>
          <w:p w14:paraId="25ABC25C" w14:textId="77777777" w:rsidR="00E855FA" w:rsidRDefault="00E855FA">
            <w:pPr>
              <w:pStyle w:val="Tabelle"/>
              <w:jc w:val="center"/>
            </w:pPr>
          </w:p>
        </w:tc>
        <w:tc>
          <w:tcPr>
            <w:tcW w:w="992" w:type="dxa"/>
          </w:tcPr>
          <w:p w14:paraId="494C0CC7" w14:textId="77777777" w:rsidR="00E855FA" w:rsidRDefault="00E855FA">
            <w:pPr>
              <w:pStyle w:val="Tabelle"/>
              <w:jc w:val="center"/>
            </w:pPr>
          </w:p>
        </w:tc>
      </w:tr>
      <w:tr w:rsidR="00E855FA" w14:paraId="07E3925C" w14:textId="77777777" w:rsidTr="00525617">
        <w:tc>
          <w:tcPr>
            <w:tcW w:w="5103" w:type="dxa"/>
          </w:tcPr>
          <w:p w14:paraId="73ABFD88" w14:textId="77777777" w:rsidR="00E855FA" w:rsidRDefault="00E855FA">
            <w:pPr>
              <w:pStyle w:val="Tabelle"/>
              <w:tabs>
                <w:tab w:val="clear" w:pos="1701"/>
                <w:tab w:val="clear" w:pos="1871"/>
                <w:tab w:val="clear" w:pos="4763"/>
                <w:tab w:val="right" w:pos="3474"/>
              </w:tabs>
            </w:pPr>
            <w:r>
              <w:tab/>
              <w:t xml:space="preserve">bis </w:t>
            </w:r>
            <w:r>
              <w:tab/>
              <w:t xml:space="preserve">250.000 € </w:t>
            </w:r>
          </w:p>
          <w:p w14:paraId="282A394D" w14:textId="77777777" w:rsidR="00E855FA" w:rsidRDefault="00E855FA">
            <w:pPr>
              <w:pStyle w:val="Tabelle"/>
              <w:tabs>
                <w:tab w:val="clear" w:pos="1701"/>
                <w:tab w:val="clear" w:pos="1871"/>
                <w:tab w:val="clear" w:pos="4763"/>
                <w:tab w:val="right" w:pos="3474"/>
              </w:tabs>
            </w:pPr>
            <w:r>
              <w:tab/>
              <w:t>bis</w:t>
            </w:r>
            <w:r>
              <w:tab/>
              <w:t>2.500.000 €</w:t>
            </w:r>
          </w:p>
          <w:p w14:paraId="76E51237" w14:textId="77777777" w:rsidR="00E855FA" w:rsidRDefault="00E855FA">
            <w:pPr>
              <w:pStyle w:val="Tabelle"/>
              <w:tabs>
                <w:tab w:val="clear" w:pos="1701"/>
                <w:tab w:val="clear" w:pos="1871"/>
                <w:tab w:val="clear" w:pos="4763"/>
                <w:tab w:val="right" w:pos="3474"/>
              </w:tabs>
            </w:pPr>
            <w:r>
              <w:tab/>
              <w:t xml:space="preserve">über </w:t>
            </w:r>
            <w:r>
              <w:tab/>
              <w:t>2.500.000 €</w:t>
            </w:r>
          </w:p>
          <w:p w14:paraId="4CF8C09D" w14:textId="77777777" w:rsidR="00E855FA" w:rsidRDefault="00E855FA">
            <w:pPr>
              <w:pStyle w:val="Tabelle"/>
              <w:tabs>
                <w:tab w:val="clear" w:pos="1701"/>
                <w:tab w:val="clear" w:pos="1871"/>
                <w:tab w:val="clear" w:pos="4763"/>
                <w:tab w:val="right" w:pos="3474"/>
              </w:tabs>
            </w:pPr>
            <w:r>
              <w:tab/>
              <w:t>oder über 10% der Auftragssumme</w:t>
            </w:r>
          </w:p>
        </w:tc>
        <w:tc>
          <w:tcPr>
            <w:tcW w:w="907" w:type="dxa"/>
          </w:tcPr>
          <w:p w14:paraId="7E0231F4" w14:textId="77777777" w:rsidR="00E855FA" w:rsidRDefault="00E855FA">
            <w:pPr>
              <w:pStyle w:val="Tabelle"/>
              <w:jc w:val="center"/>
            </w:pPr>
          </w:p>
        </w:tc>
        <w:tc>
          <w:tcPr>
            <w:tcW w:w="907" w:type="dxa"/>
          </w:tcPr>
          <w:p w14:paraId="35436590" w14:textId="77777777" w:rsidR="00E855FA" w:rsidRDefault="00E855FA">
            <w:pPr>
              <w:pStyle w:val="Tabelle"/>
              <w:jc w:val="center"/>
            </w:pPr>
          </w:p>
        </w:tc>
        <w:tc>
          <w:tcPr>
            <w:tcW w:w="907" w:type="dxa"/>
          </w:tcPr>
          <w:p w14:paraId="759C0BF8" w14:textId="77777777" w:rsidR="00E855FA" w:rsidRDefault="00E855FA">
            <w:pPr>
              <w:pStyle w:val="Tabelle"/>
              <w:jc w:val="center"/>
            </w:pPr>
          </w:p>
          <w:p w14:paraId="7E840DF2" w14:textId="77777777" w:rsidR="00E855FA" w:rsidRDefault="00E855FA">
            <w:pPr>
              <w:pStyle w:val="Tabelle"/>
              <w:jc w:val="center"/>
            </w:pPr>
          </w:p>
          <w:p w14:paraId="2B17E9A3" w14:textId="77777777" w:rsidR="00E855FA" w:rsidRDefault="00E855FA">
            <w:pPr>
              <w:pStyle w:val="Tabelle"/>
              <w:jc w:val="center"/>
              <w:rPr>
                <w:lang w:val="it-IT"/>
              </w:rPr>
            </w:pPr>
            <w:r>
              <w:rPr>
                <w:lang w:val="it-IT"/>
              </w:rPr>
              <w:t>Paraffe</w:t>
            </w:r>
          </w:p>
        </w:tc>
        <w:tc>
          <w:tcPr>
            <w:tcW w:w="918" w:type="dxa"/>
          </w:tcPr>
          <w:p w14:paraId="4F6ADB45" w14:textId="77777777" w:rsidR="00E855FA" w:rsidRDefault="00E855FA">
            <w:pPr>
              <w:pStyle w:val="Tabelle"/>
              <w:jc w:val="center"/>
              <w:rPr>
                <w:lang w:val="it-IT"/>
              </w:rPr>
            </w:pPr>
          </w:p>
        </w:tc>
        <w:tc>
          <w:tcPr>
            <w:tcW w:w="992" w:type="dxa"/>
          </w:tcPr>
          <w:p w14:paraId="516AC3BA" w14:textId="77777777" w:rsidR="00E855FA" w:rsidRDefault="00E855FA">
            <w:pPr>
              <w:pStyle w:val="Tabelle"/>
              <w:jc w:val="center"/>
            </w:pPr>
          </w:p>
        </w:tc>
      </w:tr>
      <w:tr w:rsidR="00E855FA" w14:paraId="5E42FD18" w14:textId="77777777" w:rsidTr="00525617">
        <w:tc>
          <w:tcPr>
            <w:tcW w:w="5103" w:type="dxa"/>
            <w:shd w:val="pct20" w:color="000000" w:fill="FFFFFF"/>
          </w:tcPr>
          <w:p w14:paraId="40729A74" w14:textId="77777777" w:rsidR="00E855FA" w:rsidRDefault="00E855FA">
            <w:pPr>
              <w:pStyle w:val="Tabelle"/>
              <w:tabs>
                <w:tab w:val="clear" w:pos="1701"/>
                <w:tab w:val="clear" w:pos="1871"/>
                <w:tab w:val="clear" w:pos="4763"/>
                <w:tab w:val="right" w:pos="3474"/>
              </w:tabs>
            </w:pPr>
          </w:p>
        </w:tc>
        <w:tc>
          <w:tcPr>
            <w:tcW w:w="907" w:type="dxa"/>
            <w:shd w:val="pct20" w:color="000000" w:fill="FFFFFF"/>
          </w:tcPr>
          <w:p w14:paraId="079C357A" w14:textId="77777777" w:rsidR="00E855FA" w:rsidRDefault="00E855FA">
            <w:pPr>
              <w:pStyle w:val="Tabelle"/>
              <w:jc w:val="center"/>
            </w:pPr>
          </w:p>
        </w:tc>
        <w:tc>
          <w:tcPr>
            <w:tcW w:w="907" w:type="dxa"/>
            <w:shd w:val="pct20" w:color="000000" w:fill="FFFFFF"/>
          </w:tcPr>
          <w:p w14:paraId="0EBC3AED" w14:textId="77777777" w:rsidR="00E855FA" w:rsidRDefault="00E855FA">
            <w:pPr>
              <w:pStyle w:val="Tabelle"/>
              <w:jc w:val="center"/>
            </w:pPr>
          </w:p>
        </w:tc>
        <w:tc>
          <w:tcPr>
            <w:tcW w:w="907" w:type="dxa"/>
            <w:shd w:val="pct20" w:color="000000" w:fill="FFFFFF"/>
          </w:tcPr>
          <w:p w14:paraId="662D5303" w14:textId="77777777" w:rsidR="00E855FA" w:rsidRDefault="00E855FA">
            <w:pPr>
              <w:pStyle w:val="Tabelle"/>
              <w:jc w:val="center"/>
            </w:pPr>
          </w:p>
        </w:tc>
        <w:tc>
          <w:tcPr>
            <w:tcW w:w="918" w:type="dxa"/>
            <w:shd w:val="pct20" w:color="000000" w:fill="FFFFFF"/>
          </w:tcPr>
          <w:p w14:paraId="73D68DC7" w14:textId="77777777" w:rsidR="00E855FA" w:rsidRDefault="00E855FA">
            <w:pPr>
              <w:pStyle w:val="Tabelle"/>
              <w:jc w:val="center"/>
            </w:pPr>
          </w:p>
        </w:tc>
        <w:tc>
          <w:tcPr>
            <w:tcW w:w="992" w:type="dxa"/>
            <w:shd w:val="pct20" w:color="000000" w:fill="FFFFFF"/>
          </w:tcPr>
          <w:p w14:paraId="0909F685" w14:textId="77777777" w:rsidR="00E855FA" w:rsidRDefault="00E855FA">
            <w:pPr>
              <w:pStyle w:val="Tabelle"/>
              <w:jc w:val="center"/>
            </w:pPr>
          </w:p>
        </w:tc>
      </w:tr>
      <w:tr w:rsidR="00E855FA" w14:paraId="1CAA93D5" w14:textId="77777777" w:rsidTr="00525617">
        <w:tc>
          <w:tcPr>
            <w:tcW w:w="5103" w:type="dxa"/>
          </w:tcPr>
          <w:p w14:paraId="4AF46513" w14:textId="77777777" w:rsidR="00E855FA" w:rsidRDefault="00E855FA">
            <w:pPr>
              <w:pStyle w:val="Tabelle"/>
              <w:tabs>
                <w:tab w:val="clear" w:pos="1701"/>
                <w:tab w:val="clear" w:pos="1871"/>
                <w:tab w:val="clear" w:pos="4763"/>
                <w:tab w:val="right" w:pos="3474"/>
              </w:tabs>
              <w:rPr>
                <w:b/>
              </w:rPr>
            </w:pPr>
            <w:r>
              <w:rPr>
                <w:b/>
              </w:rPr>
              <w:t>Rückgabe von Bürgschaften</w:t>
            </w:r>
          </w:p>
        </w:tc>
        <w:tc>
          <w:tcPr>
            <w:tcW w:w="907" w:type="dxa"/>
          </w:tcPr>
          <w:p w14:paraId="1CD65E33" w14:textId="77777777" w:rsidR="00E855FA" w:rsidRDefault="00E855FA">
            <w:pPr>
              <w:pStyle w:val="Tabelle"/>
              <w:jc w:val="center"/>
              <w:rPr>
                <w:b/>
              </w:rPr>
            </w:pPr>
          </w:p>
        </w:tc>
        <w:tc>
          <w:tcPr>
            <w:tcW w:w="907" w:type="dxa"/>
          </w:tcPr>
          <w:p w14:paraId="66E88B43" w14:textId="77777777" w:rsidR="00E855FA" w:rsidRDefault="00E855FA">
            <w:pPr>
              <w:pStyle w:val="Tabelle"/>
              <w:jc w:val="center"/>
              <w:rPr>
                <w:b/>
              </w:rPr>
            </w:pPr>
          </w:p>
        </w:tc>
        <w:tc>
          <w:tcPr>
            <w:tcW w:w="907" w:type="dxa"/>
          </w:tcPr>
          <w:p w14:paraId="02338726" w14:textId="77777777" w:rsidR="00E855FA" w:rsidRDefault="00E855FA">
            <w:pPr>
              <w:pStyle w:val="Tabelle"/>
              <w:jc w:val="center"/>
              <w:rPr>
                <w:b/>
              </w:rPr>
            </w:pPr>
          </w:p>
        </w:tc>
        <w:tc>
          <w:tcPr>
            <w:tcW w:w="918" w:type="dxa"/>
          </w:tcPr>
          <w:p w14:paraId="0DD46F4F" w14:textId="77777777" w:rsidR="00E855FA" w:rsidRDefault="00E855FA">
            <w:pPr>
              <w:pStyle w:val="Tabelle"/>
              <w:jc w:val="center"/>
            </w:pPr>
          </w:p>
        </w:tc>
        <w:tc>
          <w:tcPr>
            <w:tcW w:w="992" w:type="dxa"/>
          </w:tcPr>
          <w:p w14:paraId="29BEED83" w14:textId="77777777" w:rsidR="00E855FA" w:rsidRDefault="00E855FA">
            <w:pPr>
              <w:pStyle w:val="Tabelle"/>
              <w:jc w:val="center"/>
            </w:pPr>
          </w:p>
        </w:tc>
      </w:tr>
      <w:tr w:rsidR="00E855FA" w14:paraId="543EE50B" w14:textId="77777777" w:rsidTr="00525617">
        <w:tc>
          <w:tcPr>
            <w:tcW w:w="5103" w:type="dxa"/>
            <w:shd w:val="pct20" w:color="000000" w:fill="FFFFFF"/>
          </w:tcPr>
          <w:p w14:paraId="56F612AB" w14:textId="77777777" w:rsidR="00E855FA" w:rsidRDefault="00E855FA">
            <w:pPr>
              <w:pStyle w:val="Tabelle"/>
              <w:tabs>
                <w:tab w:val="clear" w:pos="1701"/>
                <w:tab w:val="clear" w:pos="1871"/>
                <w:tab w:val="clear" w:pos="4763"/>
                <w:tab w:val="right" w:pos="3474"/>
              </w:tabs>
            </w:pPr>
          </w:p>
        </w:tc>
        <w:tc>
          <w:tcPr>
            <w:tcW w:w="907" w:type="dxa"/>
            <w:shd w:val="pct20" w:color="000000" w:fill="FFFFFF"/>
          </w:tcPr>
          <w:p w14:paraId="3936FE1E" w14:textId="77777777" w:rsidR="00E855FA" w:rsidRDefault="00E855FA">
            <w:pPr>
              <w:pStyle w:val="Tabelle"/>
              <w:jc w:val="center"/>
            </w:pPr>
          </w:p>
        </w:tc>
        <w:tc>
          <w:tcPr>
            <w:tcW w:w="907" w:type="dxa"/>
            <w:shd w:val="pct20" w:color="000000" w:fill="FFFFFF"/>
          </w:tcPr>
          <w:p w14:paraId="0DBF9021" w14:textId="77777777" w:rsidR="00E855FA" w:rsidRDefault="00E855FA">
            <w:pPr>
              <w:pStyle w:val="Tabelle"/>
              <w:jc w:val="center"/>
            </w:pPr>
          </w:p>
        </w:tc>
        <w:tc>
          <w:tcPr>
            <w:tcW w:w="907" w:type="dxa"/>
            <w:shd w:val="pct20" w:color="000000" w:fill="FFFFFF"/>
          </w:tcPr>
          <w:p w14:paraId="0909038E" w14:textId="77777777" w:rsidR="00E855FA" w:rsidRDefault="00E855FA">
            <w:pPr>
              <w:pStyle w:val="Tabelle"/>
              <w:jc w:val="center"/>
            </w:pPr>
          </w:p>
        </w:tc>
        <w:tc>
          <w:tcPr>
            <w:tcW w:w="918" w:type="dxa"/>
            <w:shd w:val="pct20" w:color="000000" w:fill="FFFFFF"/>
          </w:tcPr>
          <w:p w14:paraId="39DA0F97" w14:textId="77777777" w:rsidR="00E855FA" w:rsidRDefault="00E855FA">
            <w:pPr>
              <w:pStyle w:val="Tabelle"/>
              <w:jc w:val="center"/>
            </w:pPr>
          </w:p>
        </w:tc>
        <w:tc>
          <w:tcPr>
            <w:tcW w:w="992" w:type="dxa"/>
            <w:shd w:val="pct20" w:color="000000" w:fill="FFFFFF"/>
          </w:tcPr>
          <w:p w14:paraId="7D94E5C0" w14:textId="77777777" w:rsidR="00E855FA" w:rsidRDefault="00E855FA">
            <w:pPr>
              <w:pStyle w:val="Tabelle"/>
              <w:jc w:val="center"/>
            </w:pPr>
          </w:p>
        </w:tc>
      </w:tr>
    </w:tbl>
    <w:p w14:paraId="0BE5BF3A" w14:textId="77777777" w:rsidR="00E855FA" w:rsidRDefault="00E855FA" w:rsidP="00AA1170"/>
    <w:sectPr w:rsidR="00E855FA" w:rsidSect="00525617">
      <w:footerReference w:type="default" r:id="rId14"/>
      <w:pgSz w:w="11907" w:h="16840" w:code="9"/>
      <w:pgMar w:top="2268" w:right="851" w:bottom="1134" w:left="1134"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67BB" w14:textId="77777777" w:rsidR="0023241A" w:rsidRDefault="0023241A">
      <w:r>
        <w:separator/>
      </w:r>
    </w:p>
  </w:endnote>
  <w:endnote w:type="continuationSeparator" w:id="0">
    <w:p w14:paraId="0F6B5A7D" w14:textId="77777777" w:rsidR="0023241A" w:rsidRDefault="0023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L$)">
    <w:altName w:val="Wingdings"/>
    <w:panose1 w:val="00000000000000000000"/>
    <w:charset w:val="02"/>
    <w:family w:val="swiss"/>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7966" w14:textId="77777777" w:rsidR="00234373" w:rsidRDefault="002343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0AB0" w14:textId="29974574" w:rsidR="00E855FA" w:rsidRDefault="00E855FA" w:rsidP="005821E5">
    <w:pPr>
      <w:pStyle w:val="Fuzeile"/>
      <w:tabs>
        <w:tab w:val="clear" w:pos="7371"/>
        <w:tab w:val="center" w:pos="5103"/>
        <w:tab w:val="right" w:pos="10065"/>
      </w:tabs>
    </w:pPr>
    <w:r>
      <w:rPr>
        <w:sz w:val="16"/>
      </w:rPr>
      <w:sym w:font="Wingdings (L$)" w:char="F031"/>
    </w:r>
    <w:r>
      <w:rPr>
        <w:sz w:val="16"/>
      </w:rPr>
      <w:t xml:space="preserve">  </w:t>
    </w:r>
    <w:r>
      <w:rPr>
        <w:sz w:val="16"/>
      </w:rPr>
      <w:fldChar w:fldCharType="begin"/>
    </w:r>
    <w:r>
      <w:rPr>
        <w:sz w:val="16"/>
      </w:rPr>
      <w:instrText xml:space="preserve"> FILENAME  \* MERGEFORMAT </w:instrText>
    </w:r>
    <w:r>
      <w:rPr>
        <w:sz w:val="16"/>
      </w:rPr>
      <w:fldChar w:fldCharType="separate"/>
    </w:r>
    <w:r w:rsidR="00525617">
      <w:rPr>
        <w:noProof/>
        <w:sz w:val="16"/>
      </w:rPr>
      <w:t>VHB_A0_Vergabehandbuch_00.docx</w:t>
    </w:r>
    <w:r>
      <w:rPr>
        <w:sz w:val="16"/>
      </w:rPr>
      <w:fldChar w:fldCharType="end"/>
    </w:r>
    <w:r>
      <w:rPr>
        <w:sz w:val="16"/>
      </w:rPr>
      <w:tab/>
    </w:r>
    <w:r w:rsidR="004E1F8D">
      <w:rPr>
        <w:sz w:val="16"/>
      </w:rPr>
      <w:t>V01</w:t>
    </w:r>
    <w:r>
      <w:rPr>
        <w:sz w:val="16"/>
      </w:rPr>
      <w:tab/>
    </w:r>
    <w:r>
      <w:rPr>
        <w:sz w:val="16"/>
      </w:rPr>
      <w:fldChar w:fldCharType="begin"/>
    </w:r>
    <w:r>
      <w:rPr>
        <w:sz w:val="16"/>
      </w:rPr>
      <w:instrText xml:space="preserve"> PAGE  \* MERGEFORMAT </w:instrText>
    </w:r>
    <w:r>
      <w:rPr>
        <w:sz w:val="16"/>
      </w:rPr>
      <w:fldChar w:fldCharType="separate"/>
    </w:r>
    <w:r w:rsidR="00B84175">
      <w:rPr>
        <w:noProof/>
        <w:sz w:val="16"/>
      </w:rPr>
      <w:t>2</w:t>
    </w:r>
    <w:r>
      <w:rPr>
        <w:sz w:val="16"/>
      </w:rPr>
      <w:fldChar w:fldCharType="end"/>
    </w:r>
    <w:r>
      <w:rPr>
        <w:sz w:val="16"/>
      </w:rPr>
      <w:t xml:space="preserve"> / </w:t>
    </w:r>
    <w:r>
      <w:rPr>
        <w:sz w:val="16"/>
      </w:rPr>
      <w:fldChar w:fldCharType="begin"/>
    </w:r>
    <w:r>
      <w:rPr>
        <w:sz w:val="16"/>
      </w:rPr>
      <w:instrText xml:space="preserve"> NUMPAGES  \* MERGEFORMAT </w:instrText>
    </w:r>
    <w:r>
      <w:rPr>
        <w:sz w:val="16"/>
      </w:rPr>
      <w:fldChar w:fldCharType="separate"/>
    </w:r>
    <w:r w:rsidR="00B84175">
      <w:rPr>
        <w:noProof/>
        <w:sz w:val="16"/>
      </w:rPr>
      <w:t>6</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1510" w14:textId="77777777" w:rsidR="00234373" w:rsidRDefault="0023437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47B6" w14:textId="2645E19C" w:rsidR="00E855FA" w:rsidRDefault="00E855FA" w:rsidP="005821E5">
    <w:pPr>
      <w:pStyle w:val="Fuzeile"/>
      <w:tabs>
        <w:tab w:val="clear" w:pos="7371"/>
        <w:tab w:val="clear" w:pos="9923"/>
        <w:tab w:val="center" w:pos="5103"/>
        <w:tab w:val="right" w:pos="10036"/>
      </w:tabs>
    </w:pPr>
    <w:r>
      <w:rPr>
        <w:sz w:val="16"/>
      </w:rPr>
      <w:sym w:font="Wingdings (L$)" w:char="F031"/>
    </w:r>
    <w:r>
      <w:rPr>
        <w:sz w:val="16"/>
      </w:rPr>
      <w:t xml:space="preserve">  </w:t>
    </w:r>
    <w:r>
      <w:rPr>
        <w:sz w:val="16"/>
      </w:rPr>
      <w:fldChar w:fldCharType="begin"/>
    </w:r>
    <w:r>
      <w:rPr>
        <w:sz w:val="16"/>
      </w:rPr>
      <w:instrText xml:space="preserve"> FILENAME  \* MERGEFORMAT </w:instrText>
    </w:r>
    <w:r>
      <w:rPr>
        <w:sz w:val="16"/>
      </w:rPr>
      <w:fldChar w:fldCharType="separate"/>
    </w:r>
    <w:r w:rsidR="00525617">
      <w:rPr>
        <w:noProof/>
        <w:sz w:val="16"/>
      </w:rPr>
      <w:t>VHB_A0_Vergabehandbuch_00.docx</w:t>
    </w:r>
    <w:r>
      <w:rPr>
        <w:sz w:val="16"/>
      </w:rPr>
      <w:fldChar w:fldCharType="end"/>
    </w:r>
    <w:r w:rsidR="005821E5">
      <w:rPr>
        <w:sz w:val="16"/>
      </w:rPr>
      <w:tab/>
    </w:r>
    <w:r w:rsidR="00234373">
      <w:rPr>
        <w:sz w:val="16"/>
      </w:rPr>
      <w:t>V01</w:t>
    </w:r>
    <w:r>
      <w:rPr>
        <w:sz w:val="16"/>
      </w:rPr>
      <w:tab/>
    </w:r>
    <w:r>
      <w:rPr>
        <w:sz w:val="16"/>
      </w:rPr>
      <w:fldChar w:fldCharType="begin"/>
    </w:r>
    <w:r>
      <w:rPr>
        <w:sz w:val="16"/>
      </w:rPr>
      <w:instrText xml:space="preserve"> PAGE  \* MERGEFORMAT </w:instrText>
    </w:r>
    <w:r>
      <w:rPr>
        <w:sz w:val="16"/>
      </w:rPr>
      <w:fldChar w:fldCharType="separate"/>
    </w:r>
    <w:r w:rsidR="00B84175">
      <w:rPr>
        <w:noProof/>
        <w:sz w:val="16"/>
      </w:rPr>
      <w:t>4</w:t>
    </w:r>
    <w:r>
      <w:rPr>
        <w:sz w:val="16"/>
      </w:rPr>
      <w:fldChar w:fldCharType="end"/>
    </w:r>
    <w:r>
      <w:rPr>
        <w:sz w:val="16"/>
      </w:rPr>
      <w:t xml:space="preserve"> / </w:t>
    </w:r>
    <w:r>
      <w:rPr>
        <w:sz w:val="16"/>
      </w:rPr>
      <w:fldChar w:fldCharType="begin"/>
    </w:r>
    <w:r>
      <w:rPr>
        <w:sz w:val="16"/>
      </w:rPr>
      <w:instrText xml:space="preserve"> NUMPAGES  \* MERGEFORMAT </w:instrText>
    </w:r>
    <w:r>
      <w:rPr>
        <w:sz w:val="16"/>
      </w:rPr>
      <w:fldChar w:fldCharType="separate"/>
    </w:r>
    <w:r w:rsidR="00B84175">
      <w:rPr>
        <w:noProof/>
        <w:sz w:val="16"/>
      </w:rPr>
      <w:t>6</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81F9D" w14:textId="77777777" w:rsidR="0023241A" w:rsidRDefault="0023241A">
      <w:r>
        <w:separator/>
      </w:r>
    </w:p>
  </w:footnote>
  <w:footnote w:type="continuationSeparator" w:id="0">
    <w:p w14:paraId="71B1B1C9" w14:textId="77777777" w:rsidR="0023241A" w:rsidRDefault="0023241A">
      <w:r>
        <w:continuationSeparator/>
      </w:r>
    </w:p>
  </w:footnote>
  <w:footnote w:id="1">
    <w:p w14:paraId="2E504D19" w14:textId="77777777" w:rsidR="00E855FA" w:rsidRDefault="00E855FA">
      <w:pPr>
        <w:pStyle w:val="Funotentext"/>
      </w:pPr>
      <w:r>
        <w:rPr>
          <w:rStyle w:val="Funotenzeichen"/>
        </w:rPr>
        <w:footnoteRef/>
      </w:r>
      <w:r>
        <w:t xml:space="preserve"> PS/Arch./Ing. = Projektsteuerer / Architekt / Ingenieur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2230" w14:textId="77777777" w:rsidR="00234373" w:rsidRDefault="002343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26" w:type="dxa"/>
      <w:tblInd w:w="-34" w:type="dxa"/>
      <w:tblBorders>
        <w:insideH w:val="single" w:sz="4" w:space="0" w:color="auto"/>
      </w:tblBorders>
      <w:tblLayout w:type="fixed"/>
      <w:tblLook w:val="01E0" w:firstRow="1" w:lastRow="1" w:firstColumn="1" w:lastColumn="1" w:noHBand="0" w:noVBand="0"/>
    </w:tblPr>
    <w:tblGrid>
      <w:gridCol w:w="4111"/>
      <w:gridCol w:w="4854"/>
      <w:gridCol w:w="1161"/>
    </w:tblGrid>
    <w:tr w:rsidR="00215321" w:rsidRPr="00FD1E2B" w14:paraId="0CB9FFD3" w14:textId="77777777" w:rsidTr="00525617">
      <w:tc>
        <w:tcPr>
          <w:tcW w:w="4111" w:type="dxa"/>
          <w:shd w:val="clear" w:color="auto" w:fill="auto"/>
        </w:tcPr>
        <w:p w14:paraId="22D01873" w14:textId="77777777" w:rsidR="00215321" w:rsidRPr="008B0D48" w:rsidRDefault="00EC563C" w:rsidP="00E855FA">
          <w:pPr>
            <w:pStyle w:val="Kopfzeile"/>
            <w:ind w:left="34"/>
            <w:rPr>
              <w:b/>
              <w:sz w:val="32"/>
              <w:szCs w:val="32"/>
            </w:rPr>
          </w:pPr>
          <w:r>
            <w:rPr>
              <w:b/>
              <w:sz w:val="32"/>
              <w:szCs w:val="32"/>
            </w:rPr>
            <w:t>Vergabehand</w:t>
          </w:r>
          <w:r w:rsidR="00215321" w:rsidRPr="008B0D48">
            <w:rPr>
              <w:b/>
              <w:sz w:val="32"/>
              <w:szCs w:val="32"/>
            </w:rPr>
            <w:t>buch</w:t>
          </w:r>
        </w:p>
        <w:p w14:paraId="2446B5CB" w14:textId="77777777" w:rsidR="00215321" w:rsidRPr="00FD1E2B" w:rsidRDefault="00215321" w:rsidP="00E855FA">
          <w:pPr>
            <w:pStyle w:val="Kopfzeile"/>
            <w:ind w:left="34"/>
            <w:rPr>
              <w:b/>
              <w:sz w:val="28"/>
              <w:szCs w:val="28"/>
            </w:rPr>
          </w:pPr>
        </w:p>
      </w:tc>
      <w:tc>
        <w:tcPr>
          <w:tcW w:w="4854" w:type="dxa"/>
          <w:shd w:val="clear" w:color="auto" w:fill="auto"/>
        </w:tcPr>
        <w:p w14:paraId="62453C07" w14:textId="39E88B56" w:rsidR="00215321" w:rsidRPr="00FD1E2B" w:rsidRDefault="00215321" w:rsidP="00E855FA">
          <w:pPr>
            <w:pStyle w:val="Fuzeile"/>
            <w:jc w:val="right"/>
            <w:rPr>
              <w:szCs w:val="16"/>
            </w:rPr>
          </w:pPr>
        </w:p>
      </w:tc>
      <w:tc>
        <w:tcPr>
          <w:tcW w:w="1161" w:type="dxa"/>
          <w:shd w:val="clear" w:color="auto" w:fill="auto"/>
        </w:tcPr>
        <w:p w14:paraId="151CCB90" w14:textId="2E7006A9" w:rsidR="00215321" w:rsidRPr="00FD1E2B" w:rsidRDefault="00215321" w:rsidP="00E855FA">
          <w:pPr>
            <w:pStyle w:val="Kopfzeile"/>
            <w:widowControl w:val="0"/>
            <w:ind w:right="-52"/>
            <w:jc w:val="right"/>
            <w:rPr>
              <w:szCs w:val="16"/>
            </w:rPr>
          </w:pPr>
        </w:p>
      </w:tc>
    </w:tr>
  </w:tbl>
  <w:p w14:paraId="5697F115" w14:textId="77777777" w:rsidR="00E855FA" w:rsidRPr="00215321" w:rsidRDefault="00E855FA" w:rsidP="00215321">
    <w:pPr>
      <w:shd w:val="clear" w:color="auto" w:fill="CCCCCC"/>
      <w:spacing w:before="120"/>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529E" w14:textId="77777777" w:rsidR="00234373" w:rsidRDefault="002343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356514E"/>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3F56398E"/>
    <w:lvl w:ilvl="0">
      <w:numFmt w:val="decimal"/>
      <w:lvlText w:val="*"/>
      <w:lvlJc w:val="left"/>
    </w:lvl>
  </w:abstractNum>
  <w:abstractNum w:abstractNumId="3" w15:restartNumberingAfterBreak="0">
    <w:nsid w:val="18DA25D9"/>
    <w:multiLevelType w:val="singleLevel"/>
    <w:tmpl w:val="383CCC0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E105BF"/>
    <w:multiLevelType w:val="singleLevel"/>
    <w:tmpl w:val="2C6C8440"/>
    <w:lvl w:ilvl="0">
      <w:start w:val="1"/>
      <w:numFmt w:val="bullet"/>
      <w:pStyle w:val="Texteinzugpunkt"/>
      <w:lvlText w:val=""/>
      <w:lvlJc w:val="left"/>
      <w:pPr>
        <w:tabs>
          <w:tab w:val="num" w:pos="360"/>
        </w:tabs>
        <w:ind w:left="360" w:hanging="360"/>
      </w:pPr>
      <w:rPr>
        <w:rFonts w:ascii="Symbol" w:hAnsi="Symbol" w:hint="default"/>
      </w:rPr>
    </w:lvl>
  </w:abstractNum>
  <w:abstractNum w:abstractNumId="5" w15:restartNumberingAfterBreak="0">
    <w:nsid w:val="1DE75056"/>
    <w:multiLevelType w:val="singleLevel"/>
    <w:tmpl w:val="1CEC01E0"/>
    <w:lvl w:ilvl="0">
      <w:start w:val="1"/>
      <w:numFmt w:val="bullet"/>
      <w:pStyle w:val="Texteinzug"/>
      <w:lvlText w:val=""/>
      <w:lvlJc w:val="left"/>
      <w:pPr>
        <w:tabs>
          <w:tab w:val="num" w:pos="360"/>
        </w:tabs>
        <w:ind w:left="360" w:hanging="360"/>
      </w:pPr>
      <w:rPr>
        <w:rFonts w:ascii="Symbol" w:hAnsi="Symbol" w:hint="default"/>
      </w:rPr>
    </w:lvl>
  </w:abstractNum>
  <w:abstractNum w:abstractNumId="6" w15:restartNumberingAfterBreak="0">
    <w:nsid w:val="204A778B"/>
    <w:multiLevelType w:val="multilevel"/>
    <w:tmpl w:val="62E0BC46"/>
    <w:lvl w:ilvl="0">
      <w:start w:val="1"/>
      <w:numFmt w:val="bullet"/>
      <w:lvlText w:val=""/>
      <w:lvlJc w:val="left"/>
      <w:pPr>
        <w:tabs>
          <w:tab w:val="num" w:pos="2421"/>
        </w:tabs>
        <w:ind w:left="2421" w:hanging="360"/>
      </w:pPr>
      <w:rPr>
        <w:rFonts w:ascii="Symbol" w:hAnsi="Symbol" w:hint="default"/>
      </w:rPr>
    </w:lvl>
    <w:lvl w:ilvl="1" w:tentative="1">
      <w:start w:val="1"/>
      <w:numFmt w:val="bullet"/>
      <w:lvlText w:val="o"/>
      <w:lvlJc w:val="left"/>
      <w:pPr>
        <w:tabs>
          <w:tab w:val="num" w:pos="3141"/>
        </w:tabs>
        <w:ind w:left="3141" w:hanging="360"/>
      </w:pPr>
      <w:rPr>
        <w:rFonts w:ascii="Courier New" w:hAnsi="Courier New" w:hint="default"/>
      </w:rPr>
    </w:lvl>
    <w:lvl w:ilvl="2" w:tentative="1">
      <w:start w:val="1"/>
      <w:numFmt w:val="bullet"/>
      <w:lvlText w:val=""/>
      <w:lvlJc w:val="left"/>
      <w:pPr>
        <w:tabs>
          <w:tab w:val="num" w:pos="3861"/>
        </w:tabs>
        <w:ind w:left="3861" w:hanging="360"/>
      </w:pPr>
      <w:rPr>
        <w:rFonts w:ascii="Wingdings" w:hAnsi="Wingdings" w:hint="default"/>
      </w:rPr>
    </w:lvl>
    <w:lvl w:ilvl="3" w:tentative="1">
      <w:start w:val="1"/>
      <w:numFmt w:val="bullet"/>
      <w:lvlText w:val=""/>
      <w:lvlJc w:val="left"/>
      <w:pPr>
        <w:tabs>
          <w:tab w:val="num" w:pos="4581"/>
        </w:tabs>
        <w:ind w:left="4581" w:hanging="360"/>
      </w:pPr>
      <w:rPr>
        <w:rFonts w:ascii="Symbol" w:hAnsi="Symbol" w:hint="default"/>
      </w:rPr>
    </w:lvl>
    <w:lvl w:ilvl="4" w:tentative="1">
      <w:start w:val="1"/>
      <w:numFmt w:val="bullet"/>
      <w:lvlText w:val="o"/>
      <w:lvlJc w:val="left"/>
      <w:pPr>
        <w:tabs>
          <w:tab w:val="num" w:pos="5301"/>
        </w:tabs>
        <w:ind w:left="5301" w:hanging="360"/>
      </w:pPr>
      <w:rPr>
        <w:rFonts w:ascii="Courier New" w:hAnsi="Courier New" w:hint="default"/>
      </w:rPr>
    </w:lvl>
    <w:lvl w:ilvl="5" w:tentative="1">
      <w:start w:val="1"/>
      <w:numFmt w:val="bullet"/>
      <w:lvlText w:val=""/>
      <w:lvlJc w:val="left"/>
      <w:pPr>
        <w:tabs>
          <w:tab w:val="num" w:pos="6021"/>
        </w:tabs>
        <w:ind w:left="6021" w:hanging="360"/>
      </w:pPr>
      <w:rPr>
        <w:rFonts w:ascii="Wingdings" w:hAnsi="Wingdings" w:hint="default"/>
      </w:rPr>
    </w:lvl>
    <w:lvl w:ilvl="6" w:tentative="1">
      <w:start w:val="1"/>
      <w:numFmt w:val="bullet"/>
      <w:lvlText w:val=""/>
      <w:lvlJc w:val="left"/>
      <w:pPr>
        <w:tabs>
          <w:tab w:val="num" w:pos="6741"/>
        </w:tabs>
        <w:ind w:left="6741" w:hanging="360"/>
      </w:pPr>
      <w:rPr>
        <w:rFonts w:ascii="Symbol" w:hAnsi="Symbol" w:hint="default"/>
      </w:rPr>
    </w:lvl>
    <w:lvl w:ilvl="7" w:tentative="1">
      <w:start w:val="1"/>
      <w:numFmt w:val="bullet"/>
      <w:lvlText w:val="o"/>
      <w:lvlJc w:val="left"/>
      <w:pPr>
        <w:tabs>
          <w:tab w:val="num" w:pos="7461"/>
        </w:tabs>
        <w:ind w:left="7461" w:hanging="360"/>
      </w:pPr>
      <w:rPr>
        <w:rFonts w:ascii="Courier New" w:hAnsi="Courier New" w:hint="default"/>
      </w:rPr>
    </w:lvl>
    <w:lvl w:ilvl="8" w:tentative="1">
      <w:start w:val="1"/>
      <w:numFmt w:val="bullet"/>
      <w:lvlText w:val=""/>
      <w:lvlJc w:val="left"/>
      <w:pPr>
        <w:tabs>
          <w:tab w:val="num" w:pos="8181"/>
        </w:tabs>
        <w:ind w:left="8181" w:hanging="360"/>
      </w:pPr>
      <w:rPr>
        <w:rFonts w:ascii="Wingdings" w:hAnsi="Wingdings" w:hint="default"/>
      </w:rPr>
    </w:lvl>
  </w:abstractNum>
  <w:abstractNum w:abstractNumId="7" w15:restartNumberingAfterBreak="0">
    <w:nsid w:val="35CC02DC"/>
    <w:multiLevelType w:val="singleLevel"/>
    <w:tmpl w:val="9DA0B46A"/>
    <w:lvl w:ilvl="0">
      <w:start w:val="15"/>
      <w:numFmt w:val="decimal"/>
      <w:lvlText w:val="(%1)"/>
      <w:lvlJc w:val="left"/>
      <w:pPr>
        <w:tabs>
          <w:tab w:val="num" w:pos="1644"/>
        </w:tabs>
        <w:ind w:left="1644" w:hanging="510"/>
      </w:pPr>
      <w:rPr>
        <w:rFonts w:hint="default"/>
      </w:rPr>
    </w:lvl>
  </w:abstractNum>
  <w:abstractNum w:abstractNumId="8" w15:restartNumberingAfterBreak="0">
    <w:nsid w:val="41DD024E"/>
    <w:multiLevelType w:val="singleLevel"/>
    <w:tmpl w:val="21808212"/>
    <w:lvl w:ilvl="0">
      <w:start w:val="1"/>
      <w:numFmt w:val="decimal"/>
      <w:lvlText w:val="%1."/>
      <w:lvlJc w:val="left"/>
      <w:pPr>
        <w:tabs>
          <w:tab w:val="num" w:pos="927"/>
        </w:tabs>
        <w:ind w:left="927" w:hanging="360"/>
      </w:pPr>
      <w:rPr>
        <w:rFonts w:hint="default"/>
      </w:rPr>
    </w:lvl>
  </w:abstractNum>
  <w:abstractNum w:abstractNumId="9" w15:restartNumberingAfterBreak="0">
    <w:nsid w:val="4698032F"/>
    <w:multiLevelType w:val="singleLevel"/>
    <w:tmpl w:val="54F0F05E"/>
    <w:lvl w:ilvl="0">
      <w:start w:val="1"/>
      <w:numFmt w:val="bullet"/>
      <w:pStyle w:val="Standardeinzug"/>
      <w:lvlText w:val=""/>
      <w:lvlJc w:val="left"/>
      <w:pPr>
        <w:tabs>
          <w:tab w:val="num" w:pos="360"/>
        </w:tabs>
        <w:ind w:left="360" w:hanging="360"/>
      </w:pPr>
      <w:rPr>
        <w:rFonts w:ascii="Symbol" w:hAnsi="Symbol" w:hint="default"/>
      </w:rPr>
    </w:lvl>
  </w:abstractNum>
  <w:abstractNum w:abstractNumId="10" w15:restartNumberingAfterBreak="0">
    <w:nsid w:val="470D0A99"/>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AF3A76"/>
    <w:multiLevelType w:val="singleLevel"/>
    <w:tmpl w:val="0AD62F7E"/>
    <w:lvl w:ilvl="0">
      <w:start w:val="1"/>
      <w:numFmt w:val="decimal"/>
      <w:lvlText w:val="%1."/>
      <w:legacy w:legacy="1" w:legacySpace="0" w:legacyIndent="283"/>
      <w:lvlJc w:val="left"/>
      <w:pPr>
        <w:ind w:left="1985" w:hanging="283"/>
      </w:pPr>
    </w:lvl>
  </w:abstractNum>
  <w:abstractNum w:abstractNumId="12" w15:restartNumberingAfterBreak="0">
    <w:nsid w:val="75F340B8"/>
    <w:multiLevelType w:val="singleLevel"/>
    <w:tmpl w:val="16422AE2"/>
    <w:lvl w:ilvl="0">
      <w:numFmt w:val="bullet"/>
      <w:lvlText w:val=""/>
      <w:lvlJc w:val="left"/>
      <w:pPr>
        <w:tabs>
          <w:tab w:val="num" w:pos="360"/>
        </w:tabs>
        <w:ind w:left="360" w:hanging="360"/>
      </w:pPr>
      <w:rPr>
        <w:rFonts w:ascii="Wingdings (L$)" w:hAnsi="Wingdings (L$)" w:hint="default"/>
      </w:rPr>
    </w:lvl>
  </w:abstractNum>
  <w:abstractNum w:abstractNumId="13" w15:restartNumberingAfterBreak="0">
    <w:nsid w:val="78871EFD"/>
    <w:multiLevelType w:val="multilevel"/>
    <w:tmpl w:val="1DAC9FBE"/>
    <w:lvl w:ilvl="0">
      <w:start w:val="1"/>
      <w:numFmt w:val="decimal"/>
      <w:lvlText w:val="%1."/>
      <w:lvlJc w:val="left"/>
      <w:pPr>
        <w:tabs>
          <w:tab w:val="num" w:pos="1854"/>
        </w:tabs>
        <w:ind w:left="1854" w:hanging="360"/>
      </w:pPr>
    </w:lvl>
    <w:lvl w:ilvl="1" w:tentative="1">
      <w:start w:val="1"/>
      <w:numFmt w:val="lowerLetter"/>
      <w:lvlText w:val="%2."/>
      <w:lvlJc w:val="left"/>
      <w:pPr>
        <w:tabs>
          <w:tab w:val="num" w:pos="2574"/>
        </w:tabs>
        <w:ind w:left="2574" w:hanging="360"/>
      </w:pPr>
    </w:lvl>
    <w:lvl w:ilvl="2" w:tentative="1">
      <w:start w:val="1"/>
      <w:numFmt w:val="lowerRoman"/>
      <w:lvlText w:val="%3."/>
      <w:lvlJc w:val="right"/>
      <w:pPr>
        <w:tabs>
          <w:tab w:val="num" w:pos="3294"/>
        </w:tabs>
        <w:ind w:left="3294" w:hanging="180"/>
      </w:pPr>
    </w:lvl>
    <w:lvl w:ilvl="3" w:tentative="1">
      <w:start w:val="1"/>
      <w:numFmt w:val="decimal"/>
      <w:lvlText w:val="%4."/>
      <w:lvlJc w:val="left"/>
      <w:pPr>
        <w:tabs>
          <w:tab w:val="num" w:pos="4014"/>
        </w:tabs>
        <w:ind w:left="4014" w:hanging="360"/>
      </w:pPr>
    </w:lvl>
    <w:lvl w:ilvl="4" w:tentative="1">
      <w:start w:val="1"/>
      <w:numFmt w:val="lowerLetter"/>
      <w:lvlText w:val="%5."/>
      <w:lvlJc w:val="left"/>
      <w:pPr>
        <w:tabs>
          <w:tab w:val="num" w:pos="4734"/>
        </w:tabs>
        <w:ind w:left="4734" w:hanging="360"/>
      </w:pPr>
    </w:lvl>
    <w:lvl w:ilvl="5" w:tentative="1">
      <w:start w:val="1"/>
      <w:numFmt w:val="lowerRoman"/>
      <w:lvlText w:val="%6."/>
      <w:lvlJc w:val="right"/>
      <w:pPr>
        <w:tabs>
          <w:tab w:val="num" w:pos="5454"/>
        </w:tabs>
        <w:ind w:left="5454" w:hanging="180"/>
      </w:pPr>
    </w:lvl>
    <w:lvl w:ilvl="6" w:tentative="1">
      <w:start w:val="1"/>
      <w:numFmt w:val="decimal"/>
      <w:lvlText w:val="%7."/>
      <w:lvlJc w:val="left"/>
      <w:pPr>
        <w:tabs>
          <w:tab w:val="num" w:pos="6174"/>
        </w:tabs>
        <w:ind w:left="6174" w:hanging="360"/>
      </w:pPr>
    </w:lvl>
    <w:lvl w:ilvl="7" w:tentative="1">
      <w:start w:val="1"/>
      <w:numFmt w:val="lowerLetter"/>
      <w:lvlText w:val="%8."/>
      <w:lvlJc w:val="left"/>
      <w:pPr>
        <w:tabs>
          <w:tab w:val="num" w:pos="6894"/>
        </w:tabs>
        <w:ind w:left="6894" w:hanging="360"/>
      </w:pPr>
    </w:lvl>
    <w:lvl w:ilvl="8" w:tentative="1">
      <w:start w:val="1"/>
      <w:numFmt w:val="lowerRoman"/>
      <w:lvlText w:val="%9."/>
      <w:lvlJc w:val="right"/>
      <w:pPr>
        <w:tabs>
          <w:tab w:val="num" w:pos="7614"/>
        </w:tabs>
        <w:ind w:left="7614" w:hanging="180"/>
      </w:pPr>
    </w:lvl>
  </w:abstractNum>
  <w:num w:numId="1" w16cid:durableId="2112511321">
    <w:abstractNumId w:val="5"/>
  </w:num>
  <w:num w:numId="2" w16cid:durableId="390154103">
    <w:abstractNumId w:val="2"/>
    <w:lvlOverride w:ilvl="0">
      <w:lvl w:ilvl="0">
        <w:start w:val="1"/>
        <w:numFmt w:val="bullet"/>
        <w:lvlText w:val=""/>
        <w:lvlJc w:val="left"/>
        <w:pPr>
          <w:tabs>
            <w:tab w:val="num" w:pos="360"/>
          </w:tabs>
          <w:ind w:left="360" w:hanging="360"/>
        </w:pPr>
        <w:rPr>
          <w:rFonts w:ascii="Symbol" w:hAnsi="Symbol" w:hint="default"/>
        </w:rPr>
      </w:lvl>
    </w:lvlOverride>
  </w:num>
  <w:num w:numId="3" w16cid:durableId="1875463442">
    <w:abstractNumId w:val="10"/>
  </w:num>
  <w:num w:numId="4" w16cid:durableId="1480267752">
    <w:abstractNumId w:val="2"/>
    <w:lvlOverride w:ilvl="0">
      <w:lvl w:ilvl="0">
        <w:start w:val="1"/>
        <w:numFmt w:val="bullet"/>
        <w:lvlText w:val=""/>
        <w:legacy w:legacy="1" w:legacySpace="0" w:legacyIndent="283"/>
        <w:lvlJc w:val="left"/>
        <w:pPr>
          <w:ind w:left="1417" w:hanging="283"/>
        </w:pPr>
        <w:rPr>
          <w:rFonts w:ascii="Symbol" w:hAnsi="Symbol" w:hint="default"/>
        </w:rPr>
      </w:lvl>
    </w:lvlOverride>
  </w:num>
  <w:num w:numId="5" w16cid:durableId="774523678">
    <w:abstractNumId w:val="11"/>
  </w:num>
  <w:num w:numId="6" w16cid:durableId="1594586507">
    <w:abstractNumId w:val="11"/>
    <w:lvlOverride w:ilvl="0">
      <w:lvl w:ilvl="0">
        <w:start w:val="1"/>
        <w:numFmt w:val="decimal"/>
        <w:lvlText w:val="%1."/>
        <w:legacy w:legacy="1" w:legacySpace="0" w:legacyIndent="283"/>
        <w:lvlJc w:val="left"/>
        <w:pPr>
          <w:ind w:left="1985" w:hanging="283"/>
        </w:pPr>
      </w:lvl>
    </w:lvlOverride>
  </w:num>
  <w:num w:numId="7" w16cid:durableId="27991929">
    <w:abstractNumId w:val="9"/>
  </w:num>
  <w:num w:numId="8" w16cid:durableId="2031640299">
    <w:abstractNumId w:val="7"/>
  </w:num>
  <w:num w:numId="9" w16cid:durableId="675620598">
    <w:abstractNumId w:val="6"/>
  </w:num>
  <w:num w:numId="10" w16cid:durableId="1097212160">
    <w:abstractNumId w:val="8"/>
  </w:num>
  <w:num w:numId="11" w16cid:durableId="1052582328">
    <w:abstractNumId w:val="3"/>
  </w:num>
  <w:num w:numId="12" w16cid:durableId="398090512">
    <w:abstractNumId w:val="13"/>
  </w:num>
  <w:num w:numId="13" w16cid:durableId="543561696">
    <w:abstractNumId w:val="4"/>
  </w:num>
  <w:num w:numId="14" w16cid:durableId="946159892">
    <w:abstractNumId w:val="12"/>
  </w:num>
  <w:num w:numId="15" w16cid:durableId="499153447">
    <w:abstractNumId w:val="1"/>
  </w:num>
  <w:num w:numId="16" w16cid:durableId="157084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21"/>
    <w:rsid w:val="00003D62"/>
    <w:rsid w:val="00045EE0"/>
    <w:rsid w:val="00102D3A"/>
    <w:rsid w:val="00215321"/>
    <w:rsid w:val="0023241A"/>
    <w:rsid w:val="00234373"/>
    <w:rsid w:val="0026480D"/>
    <w:rsid w:val="00276158"/>
    <w:rsid w:val="003B2ACF"/>
    <w:rsid w:val="004C755A"/>
    <w:rsid w:val="004D1EB1"/>
    <w:rsid w:val="004E1F8D"/>
    <w:rsid w:val="00525617"/>
    <w:rsid w:val="005821E5"/>
    <w:rsid w:val="005F396F"/>
    <w:rsid w:val="00720E57"/>
    <w:rsid w:val="007B71DF"/>
    <w:rsid w:val="00852343"/>
    <w:rsid w:val="00860DF7"/>
    <w:rsid w:val="008A5B60"/>
    <w:rsid w:val="008D2901"/>
    <w:rsid w:val="009942AA"/>
    <w:rsid w:val="00AA1170"/>
    <w:rsid w:val="00B40A71"/>
    <w:rsid w:val="00B52B0C"/>
    <w:rsid w:val="00B84175"/>
    <w:rsid w:val="00CC003C"/>
    <w:rsid w:val="00D3507C"/>
    <w:rsid w:val="00D72132"/>
    <w:rsid w:val="00E855FA"/>
    <w:rsid w:val="00EC563C"/>
    <w:rsid w:val="00ED5992"/>
    <w:rsid w:val="00EF0F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5FCFD"/>
  <w15:chartTrackingRefBased/>
  <w15:docId w15:val="{BD97393E-B565-44E6-ABE9-95D74CCF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240"/>
      <w:outlineLvl w:val="0"/>
    </w:pPr>
    <w:rPr>
      <w:b/>
      <w:kern w:val="28"/>
      <w:sz w:val="28"/>
    </w:rPr>
  </w:style>
  <w:style w:type="paragraph" w:styleId="berschrift2">
    <w:name w:val="heading 2"/>
    <w:basedOn w:val="Standard"/>
    <w:next w:val="Text"/>
    <w:qFormat/>
    <w:pPr>
      <w:keepNext/>
      <w:spacing w:before="240" w:after="120"/>
      <w:ind w:left="567"/>
      <w:outlineLvl w:val="1"/>
    </w:pPr>
    <w:rPr>
      <w:b/>
      <w:sz w:val="24"/>
    </w:rPr>
  </w:style>
  <w:style w:type="paragraph" w:styleId="berschrift3">
    <w:name w:val="heading 3"/>
    <w:basedOn w:val="Standard"/>
    <w:next w:val="Text"/>
    <w:qFormat/>
    <w:pPr>
      <w:keepNext/>
      <w:spacing w:before="240"/>
      <w:ind w:left="1134"/>
      <w:outlineLvl w:val="2"/>
    </w:pPr>
    <w:rPr>
      <w:b/>
      <w:sz w:val="24"/>
    </w:rPr>
  </w:style>
  <w:style w:type="paragraph" w:styleId="berschrift5">
    <w:name w:val="heading 5"/>
    <w:basedOn w:val="Standard"/>
    <w:next w:val="Standard"/>
    <w:qFormat/>
    <w:pPr>
      <w:keepNext/>
      <w:keepLines/>
      <w:tabs>
        <w:tab w:val="left" w:pos="1134"/>
      </w:tabs>
      <w:spacing w:before="60" w:after="60"/>
      <w:jc w:val="right"/>
      <w:outlineLvl w:val="4"/>
    </w:pPr>
    <w:rPr>
      <w:color w:val="FF0000"/>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pPr>
      <w:spacing w:before="60" w:after="60"/>
      <w:ind w:left="1134"/>
    </w:pPr>
  </w:style>
  <w:style w:type="paragraph" w:styleId="Kopfzeile">
    <w:name w:val="header"/>
    <w:basedOn w:val="Standard"/>
    <w:rPr>
      <w:sz w:val="20"/>
    </w:rPr>
  </w:style>
  <w:style w:type="paragraph" w:customStyle="1" w:styleId="Texteinzug">
    <w:name w:val="Texteinzug"/>
    <w:basedOn w:val="Text"/>
    <w:pPr>
      <w:numPr>
        <w:numId w:val="1"/>
      </w:numPr>
      <w:tabs>
        <w:tab w:val="clear" w:pos="360"/>
      </w:tabs>
      <w:ind w:left="2058" w:hanging="357"/>
    </w:pPr>
  </w:style>
  <w:style w:type="paragraph" w:styleId="Fuzeile">
    <w:name w:val="footer"/>
    <w:basedOn w:val="Standard"/>
    <w:link w:val="FuzeileZchn"/>
    <w:pPr>
      <w:tabs>
        <w:tab w:val="center" w:pos="7371"/>
        <w:tab w:val="right" w:pos="9923"/>
      </w:tabs>
    </w:pPr>
    <w:rPr>
      <w:sz w:val="20"/>
    </w:rPr>
  </w:style>
  <w:style w:type="paragraph" w:customStyle="1" w:styleId="Texteinzugpunkt">
    <w:name w:val="Texteinzugpunkt"/>
    <w:basedOn w:val="Textkrper"/>
    <w:pPr>
      <w:numPr>
        <w:numId w:val="13"/>
      </w:numPr>
      <w:ind w:left="2058" w:hanging="357"/>
    </w:pPr>
  </w:style>
  <w:style w:type="paragraph" w:styleId="Textkrper">
    <w:name w:val="Body Text"/>
    <w:basedOn w:val="Standard"/>
    <w:pPr>
      <w:spacing w:before="60" w:after="60"/>
      <w:ind w:left="1134"/>
    </w:pPr>
  </w:style>
  <w:style w:type="paragraph" w:styleId="Standardeinzug">
    <w:name w:val="Normal Indent"/>
    <w:basedOn w:val="Standard"/>
    <w:pPr>
      <w:keepLines/>
      <w:numPr>
        <w:numId w:val="7"/>
      </w:numPr>
      <w:tabs>
        <w:tab w:val="left" w:pos="1134"/>
      </w:tabs>
      <w:spacing w:before="60" w:after="60"/>
    </w:pPr>
  </w:style>
  <w:style w:type="paragraph" w:customStyle="1" w:styleId="Tabelleneinzug">
    <w:name w:val="Tabelleneinzug"/>
    <w:basedOn w:val="Standard"/>
    <w:pPr>
      <w:keepLines/>
      <w:tabs>
        <w:tab w:val="left" w:pos="1134"/>
      </w:tabs>
      <w:spacing w:before="20" w:after="20"/>
      <w:ind w:left="357" w:hanging="357"/>
    </w:pPr>
    <w:rPr>
      <w:sz w:val="20"/>
    </w:rPr>
  </w:style>
  <w:style w:type="paragraph" w:customStyle="1" w:styleId="Tabelle">
    <w:name w:val="Tabelle"/>
    <w:basedOn w:val="Standard"/>
    <w:pPr>
      <w:keepLines/>
      <w:tabs>
        <w:tab w:val="left" w:pos="567"/>
        <w:tab w:val="right" w:pos="1701"/>
        <w:tab w:val="left" w:pos="1871"/>
        <w:tab w:val="right" w:pos="4763"/>
      </w:tabs>
      <w:spacing w:before="20" w:after="20"/>
    </w:pPr>
    <w:rPr>
      <w:sz w:val="20"/>
    </w:rPr>
  </w:style>
  <w:style w:type="paragraph" w:styleId="Textkrper-Zeileneinzug">
    <w:name w:val="Body Text Indent"/>
    <w:basedOn w:val="Standard"/>
    <w:pPr>
      <w:tabs>
        <w:tab w:val="left" w:pos="1134"/>
        <w:tab w:val="left" w:pos="5670"/>
        <w:tab w:val="left" w:pos="10206"/>
      </w:tabs>
      <w:overflowPunct w:val="0"/>
      <w:autoSpaceDE w:val="0"/>
      <w:autoSpaceDN w:val="0"/>
      <w:adjustRightInd w:val="0"/>
      <w:spacing w:before="60" w:after="60"/>
      <w:ind w:left="1134"/>
      <w:textAlignment w:val="baseline"/>
    </w:pPr>
  </w:style>
  <w:style w:type="paragraph" w:styleId="Verzeichnis1">
    <w:name w:val="toc 1"/>
    <w:basedOn w:val="Standard"/>
    <w:next w:val="Standard"/>
    <w:autoRedefine/>
    <w:semiHidden/>
    <w:pPr>
      <w:keepLines/>
      <w:spacing w:before="60" w:after="60"/>
    </w:pPr>
  </w:style>
  <w:style w:type="character" w:styleId="Funotenzeichen">
    <w:name w:val="footnote reference"/>
    <w:semiHidden/>
    <w:rPr>
      <w:vertAlign w:val="superscript"/>
    </w:rPr>
  </w:style>
  <w:style w:type="paragraph" w:styleId="Funotentext">
    <w:name w:val="footnote text"/>
    <w:basedOn w:val="Standard"/>
    <w:semiHidden/>
    <w:pPr>
      <w:tabs>
        <w:tab w:val="left" w:pos="1134"/>
      </w:tabs>
    </w:pPr>
    <w:rPr>
      <w:sz w:val="20"/>
    </w:rPr>
  </w:style>
  <w:style w:type="paragraph" w:styleId="Textkrper2">
    <w:name w:val="Body Text 2"/>
    <w:basedOn w:val="Standard"/>
    <w:rPr>
      <w:color w:val="808080"/>
    </w:rPr>
  </w:style>
  <w:style w:type="character" w:customStyle="1" w:styleId="FuzeileZchn">
    <w:name w:val="Fußzeile Zchn"/>
    <w:link w:val="Fuzeile"/>
    <w:rsid w:val="00215321"/>
    <w:rPr>
      <w:rFonts w:ascii="Arial" w:hAnsi="Arial"/>
      <w:lang w:val="de-DE" w:eastAsia="de-DE" w:bidi="ar-SA"/>
    </w:rPr>
  </w:style>
  <w:style w:type="paragraph" w:styleId="Titel">
    <w:name w:val="Title"/>
    <w:basedOn w:val="Standard"/>
    <w:next w:val="Standard"/>
    <w:link w:val="TitelZchn"/>
    <w:qFormat/>
    <w:rsid w:val="00CC003C"/>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rsid w:val="00CC003C"/>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F934-88A8-4D97-B076-418AAE5B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1229</Words>
  <Characters>7743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Vergabehandbuch</vt:lpstr>
    </vt:vector>
  </TitlesOfParts>
  <Company>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Vergabehandbuch</dc:title>
  <dc:subject/>
  <dc:creator>W. Volkmann</dc:creator>
  <cp:keywords/>
  <cp:lastModifiedBy>Walter Volkmann</cp:lastModifiedBy>
  <cp:revision>8</cp:revision>
  <cp:lastPrinted>2021-09-15T14:55:00Z</cp:lastPrinted>
  <dcterms:created xsi:type="dcterms:W3CDTF">2021-09-15T14:47:00Z</dcterms:created>
  <dcterms:modified xsi:type="dcterms:W3CDTF">2026-02-23T13:44:00Z</dcterms:modified>
</cp:coreProperties>
</file>